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1C50D">
      <w:pPr>
        <w:pageBreakBefore w:val="0"/>
        <w:widowControl w:val="0"/>
        <w:tabs>
          <w:tab w:val="left" w:pos="956"/>
        </w:tabs>
        <w:bidi w:val="0"/>
        <w:spacing w:line="600" w:lineRule="exact"/>
        <w:jc w:val="center"/>
        <w:rPr>
          <w:rFonts w:ascii="方正小标宋简体" w:hAnsi="方正小标宋简体" w:eastAsia="方正小标宋简体" w:cs="方正小标宋简体"/>
          <w:color w:val="000000"/>
          <w:sz w:val="44"/>
          <w:szCs w:val="32"/>
        </w:rPr>
      </w:pPr>
      <w:bookmarkStart w:id="0" w:name="_GoBack"/>
      <w:bookmarkEnd w:id="0"/>
      <w:r>
        <w:rPr>
          <w:rFonts w:hint="eastAsia" w:ascii="方正小标宋简体" w:hAnsi="方正小标宋简体" w:eastAsia="方正小标宋简体" w:cs="方正小标宋简体"/>
          <w:color w:val="000000"/>
          <w:sz w:val="44"/>
          <w:szCs w:val="32"/>
          <w:lang w:eastAsia="zh-CN"/>
        </w:rPr>
        <w:t>呼伦贝尔市</w:t>
      </w:r>
      <w:r>
        <w:rPr>
          <w:rFonts w:hint="eastAsia" w:ascii="方正小标宋简体" w:hAnsi="方正小标宋简体" w:eastAsia="方正小标宋简体" w:cs="方正小标宋简体"/>
          <w:color w:val="000000"/>
          <w:sz w:val="44"/>
          <w:szCs w:val="32"/>
        </w:rPr>
        <w:t>空气质量持续改善行动实施方案</w:t>
      </w:r>
      <w:r>
        <w:rPr>
          <w:rFonts w:hint="eastAsia" w:ascii="方正小标宋简体" w:hAnsi="方正小标宋简体" w:eastAsia="方正小标宋简体" w:cs="方正小标宋简体"/>
          <w:color w:val="000000"/>
          <w:sz w:val="44"/>
          <w:szCs w:val="32"/>
          <w:lang w:eastAsia="zh-CN"/>
        </w:rPr>
        <w:t>（征求意见稿）</w:t>
      </w:r>
    </w:p>
    <w:p w14:paraId="0615FA7C">
      <w:pPr>
        <w:pageBreakBefore w:val="0"/>
        <w:widowControl w:val="0"/>
        <w:bidi w:val="0"/>
        <w:spacing w:line="600" w:lineRule="exact"/>
        <w:rPr>
          <w:rFonts w:ascii="楷体_GB2312" w:hAnsi="楷体_GB2312" w:eastAsia="楷体_GB2312" w:cs="楷体_GB2312"/>
          <w:b/>
          <w:bCs/>
          <w:color w:val="000000"/>
          <w:sz w:val="32"/>
        </w:rPr>
      </w:pPr>
    </w:p>
    <w:p w14:paraId="39F8FBDF">
      <w:pPr>
        <w:pageBreakBefore w:val="0"/>
        <w:widowControl w:val="0"/>
        <w:bidi w:val="0"/>
        <w:spacing w:line="600" w:lineRule="exact"/>
        <w:ind w:firstLine="632"/>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lang w:eastAsia="zh-CN"/>
        </w:rPr>
        <w:t>按照</w:t>
      </w:r>
      <w:r>
        <w:rPr>
          <w:rFonts w:hint="eastAsia" w:ascii="仿宋_GB2312" w:hAnsi="仿宋_GB2312" w:eastAsia="仿宋_GB2312" w:cs="仿宋_GB2312"/>
          <w:color w:val="000000"/>
          <w:sz w:val="32"/>
        </w:rPr>
        <w:t>国务院《空气质量持续改善行动计划》</w:t>
      </w:r>
      <w:r>
        <w:rPr>
          <w:rFonts w:hint="eastAsia" w:ascii="仿宋_GB2312" w:hAnsi="仿宋_GB2312" w:eastAsia="仿宋_GB2312" w:cs="仿宋_GB2312"/>
          <w:color w:val="000000"/>
          <w:sz w:val="32"/>
          <w:lang w:eastAsia="zh-CN"/>
        </w:rPr>
        <w:t>（国发〔2023〕24号）、自治区《内蒙古自治区空气质量持续改善行动实施方案》</w:t>
      </w:r>
      <w:r>
        <w:rPr>
          <w:rFonts w:hint="eastAsia" w:ascii="仿宋_GB2312" w:hAnsi="仿宋_GB2312" w:eastAsia="仿宋_GB2312" w:cs="仿宋_GB2312"/>
          <w:color w:val="000000"/>
          <w:sz w:val="32"/>
          <w:lang w:val="en-US" w:eastAsia="zh-CN"/>
        </w:rPr>
        <w:t>（内政发〔2024〕17号）要求</w:t>
      </w:r>
      <w:r>
        <w:rPr>
          <w:rFonts w:hint="eastAsia" w:ascii="仿宋_GB2312" w:hAnsi="仿宋_GB2312" w:eastAsia="仿宋_GB2312" w:cs="仿宋_GB2312"/>
          <w:color w:val="000000"/>
          <w:sz w:val="32"/>
        </w:rPr>
        <w:t>，牢牢把握铸牢中华民族共同体意识工作主线</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持续深入打好蓝天保卫战，切实筑牢我国北方重要生态安全屏障</w:t>
      </w:r>
      <w:r>
        <w:rPr>
          <w:rFonts w:hint="eastAsia" w:ascii="仿宋_GB2312" w:hAnsi="仿宋_GB2312" w:eastAsia="仿宋_GB2312" w:cs="仿宋_GB2312"/>
          <w:color w:val="000000"/>
          <w:sz w:val="32"/>
          <w:lang w:eastAsia="zh-CN"/>
        </w:rPr>
        <w:t>，“六个统筹”</w:t>
      </w:r>
      <w:r>
        <w:rPr>
          <w:rFonts w:hint="eastAsia" w:ascii="仿宋_GB2312" w:hAnsi="仿宋_GB2312" w:eastAsia="仿宋_GB2312" w:cs="仿宋_GB2312"/>
          <w:color w:val="000000"/>
          <w:sz w:val="32"/>
        </w:rPr>
        <w:t>，</w:t>
      </w:r>
      <w:r>
        <w:rPr>
          <w:rFonts w:hint="eastAsia" w:ascii="仿宋_GB2312" w:hAnsi="仿宋_GB2312" w:eastAsia="仿宋_GB2312" w:cs="仿宋_GB2312"/>
          <w:color w:val="000000"/>
          <w:sz w:val="32"/>
          <w:lang w:eastAsia="zh-CN"/>
        </w:rPr>
        <w:t>持续</w:t>
      </w:r>
      <w:r>
        <w:rPr>
          <w:rFonts w:hint="eastAsia" w:ascii="仿宋_GB2312" w:hAnsi="仿宋_GB2312" w:eastAsia="仿宋_GB2312" w:cs="仿宋_GB2312"/>
          <w:color w:val="000000"/>
          <w:sz w:val="32"/>
        </w:rPr>
        <w:t>推动</w:t>
      </w:r>
      <w:r>
        <w:rPr>
          <w:rFonts w:hint="eastAsia" w:ascii="仿宋_GB2312" w:hAnsi="仿宋_GB2312" w:eastAsia="仿宋_GB2312" w:cs="仿宋_GB2312"/>
          <w:color w:val="000000"/>
          <w:sz w:val="32"/>
          <w:lang w:eastAsia="zh-CN"/>
        </w:rPr>
        <w:t>全市</w:t>
      </w:r>
      <w:r>
        <w:rPr>
          <w:rFonts w:hint="eastAsia" w:ascii="仿宋_GB2312" w:hAnsi="仿宋_GB2312" w:eastAsia="仿宋_GB2312" w:cs="仿宋_GB2312"/>
          <w:color w:val="000000"/>
          <w:sz w:val="32"/>
        </w:rPr>
        <w:t>经济社会高质量发展，制定本方案。</w:t>
      </w:r>
    </w:p>
    <w:p w14:paraId="22C08637">
      <w:pPr>
        <w:keepNext/>
        <w:keepLines/>
        <w:pageBreakBefore w:val="0"/>
        <w:widowControl w:val="0"/>
        <w:bidi w:val="0"/>
        <w:spacing w:line="600" w:lineRule="exact"/>
        <w:ind w:firstLine="632"/>
        <w:outlineLvl w:val="0"/>
        <w:rPr>
          <w:rFonts w:hint="eastAsia" w:ascii="Times New Roman" w:hAnsi="Times New Roman" w:eastAsia="黑体" w:cs="黑体"/>
          <w:color w:val="000000"/>
          <w:sz w:val="32"/>
          <w:lang w:eastAsia="zh-CN"/>
        </w:rPr>
      </w:pPr>
      <w:r>
        <w:rPr>
          <w:rFonts w:hint="eastAsia" w:ascii="Times New Roman" w:hAnsi="Times New Roman" w:eastAsia="黑体" w:cs="黑体"/>
          <w:color w:val="000000"/>
          <w:sz w:val="32"/>
        </w:rPr>
        <w:t>一、</w:t>
      </w:r>
      <w:r>
        <w:rPr>
          <w:rFonts w:hint="eastAsia" w:ascii="Times New Roman" w:hAnsi="Times New Roman" w:eastAsia="黑体" w:cs="黑体"/>
          <w:color w:val="000000"/>
          <w:sz w:val="32"/>
          <w:lang w:eastAsia="zh-CN"/>
        </w:rPr>
        <w:t>主要目标</w:t>
      </w:r>
    </w:p>
    <w:p w14:paraId="23FD9DFD">
      <w:pPr>
        <w:pageBreakBefore w:val="0"/>
        <w:widowControl w:val="0"/>
        <w:bidi w:val="0"/>
        <w:spacing w:line="600" w:lineRule="exact"/>
        <w:ind w:firstLine="632"/>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到2025年，全市细颗粒物平均浓度达到17微克/立方米，空气质量优良天数比率达到99.4%及以上，重污染天气比率保持0.0%。氮氧化物、VOCs重点工程减排量达到自治区计划目标要求。</w:t>
      </w:r>
    </w:p>
    <w:p w14:paraId="75CC2F31">
      <w:pPr>
        <w:keepNext/>
        <w:keepLines/>
        <w:pageBreakBefore w:val="0"/>
        <w:widowControl w:val="0"/>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rPr>
        <w:t>二、</w:t>
      </w:r>
      <w:r>
        <w:rPr>
          <w:rFonts w:hint="eastAsia" w:ascii="Times New Roman" w:hAnsi="Times New Roman" w:eastAsia="黑体" w:cs="黑体"/>
          <w:color w:val="000000"/>
          <w:sz w:val="32"/>
          <w:lang w:eastAsia="zh-CN"/>
        </w:rPr>
        <w:t>推动</w:t>
      </w:r>
      <w:r>
        <w:rPr>
          <w:rFonts w:hint="eastAsia" w:ascii="Times New Roman" w:hAnsi="Times New Roman" w:eastAsia="黑体" w:cs="黑体"/>
          <w:color w:val="000000"/>
          <w:sz w:val="32"/>
        </w:rPr>
        <w:t>产业绿色转型升级</w:t>
      </w:r>
    </w:p>
    <w:p w14:paraId="34C4C9ED">
      <w:pPr>
        <w:pageBreakBefore w:val="0"/>
        <w:widowControl w:val="0"/>
        <w:bidi w:val="0"/>
        <w:spacing w:line="600" w:lineRule="exact"/>
        <w:ind w:firstLine="632"/>
        <w:rPr>
          <w:rFonts w:ascii="Times New Roman" w:hAnsi="Times New Roman" w:eastAsia="仿宋_GB2312" w:cs="黑体"/>
          <w:color w:val="000000"/>
          <w:sz w:val="32"/>
        </w:rPr>
      </w:pPr>
      <w:r>
        <w:rPr>
          <w:rFonts w:hint="eastAsia" w:ascii="楷体_GB2312" w:hAnsi="楷体_GB2312" w:eastAsia="楷体_GB2312" w:cs="楷体_GB2312"/>
          <w:b/>
          <w:bCs/>
          <w:color w:val="000000"/>
          <w:sz w:val="32"/>
          <w:szCs w:val="32"/>
          <w:lang w:eastAsia="zh-CN"/>
        </w:rPr>
        <w:t>（一）调整产业结构和布局。</w:t>
      </w:r>
      <w:r>
        <w:rPr>
          <w:rFonts w:hint="eastAsia" w:ascii="仿宋_GB2312" w:hAnsi="仿宋_GB2312" w:eastAsia="仿宋_GB2312" w:cs="仿宋_GB2312"/>
          <w:color w:val="000000"/>
          <w:sz w:val="32"/>
        </w:rPr>
        <w:t>坚决遏制高耗能、高排放、低水平项目盲目上马，新改扩建项目严格落实</w:t>
      </w:r>
      <w:r>
        <w:rPr>
          <w:rFonts w:hint="eastAsia" w:ascii="仿宋_GB2312" w:hAnsi="仿宋_GB2312" w:eastAsia="仿宋_GB2312" w:cs="仿宋_GB2312"/>
          <w:color w:val="000000"/>
          <w:sz w:val="32"/>
          <w:lang w:eastAsia="zh-CN"/>
        </w:rPr>
        <w:t>自治区</w:t>
      </w:r>
      <w:r>
        <w:rPr>
          <w:rFonts w:hint="eastAsia" w:ascii="仿宋_GB2312" w:hAnsi="仿宋_GB2312" w:eastAsia="仿宋_GB2312" w:cs="仿宋_GB2312"/>
          <w:color w:val="000000"/>
          <w:sz w:val="32"/>
        </w:rPr>
        <w:t>和</w:t>
      </w:r>
      <w:r>
        <w:rPr>
          <w:rFonts w:hint="eastAsia" w:ascii="仿宋_GB2312" w:hAnsi="仿宋_GB2312" w:eastAsia="仿宋_GB2312" w:cs="仿宋_GB2312"/>
          <w:color w:val="000000"/>
          <w:sz w:val="32"/>
          <w:lang w:eastAsia="zh-CN"/>
        </w:rPr>
        <w:t>我市</w:t>
      </w:r>
      <w:r>
        <w:rPr>
          <w:rFonts w:hint="eastAsia" w:ascii="仿宋_GB2312" w:hAnsi="仿宋_GB2312" w:eastAsia="仿宋_GB2312" w:cs="仿宋_GB2312"/>
          <w:color w:val="000000"/>
          <w:sz w:val="32"/>
        </w:rPr>
        <w:t>产业规划、产业政策、“三线一单”、规划环评，项目环评、节能审查、产能置换、重点污染物总量控制、污染物排放区域削减、碳排放达峰目标等相关要求，原则上采用清洁运输方式。涉及产能置换的项目（电力和热力生产供应行业除外），被置换产能及配套设施关停后，新建项目方可投产。依法依规退出不符合产业政策和环保要求的落后产能。</w:t>
      </w:r>
      <w:r>
        <w:rPr>
          <w:rFonts w:hint="eastAsia" w:ascii="仿宋_GB2312" w:hAnsi="仿宋_GB2312" w:eastAsia="仿宋_GB2312" w:cs="仿宋_GB2312"/>
          <w:color w:val="000000"/>
          <w:sz w:val="32"/>
          <w:lang w:eastAsia="zh-CN"/>
        </w:rPr>
        <w:t>认真</w:t>
      </w:r>
      <w:r>
        <w:rPr>
          <w:rFonts w:hint="eastAsia" w:ascii="仿宋_GB2312" w:hAnsi="仿宋_GB2312" w:eastAsia="仿宋_GB2312" w:cs="仿宋_GB2312"/>
          <w:color w:val="000000"/>
          <w:sz w:val="32"/>
        </w:rPr>
        <w:t>落实水泥</w:t>
      </w:r>
      <w:r>
        <w:rPr>
          <w:rFonts w:hint="eastAsia" w:ascii="仿宋_GB2312" w:hAnsi="仿宋_GB2312" w:eastAsia="仿宋_GB2312" w:cs="仿宋_GB2312"/>
          <w:color w:val="000000"/>
          <w:sz w:val="32"/>
          <w:lang w:eastAsia="zh-CN"/>
        </w:rPr>
        <w:t>行业</w:t>
      </w:r>
      <w:r>
        <w:rPr>
          <w:rFonts w:hint="eastAsia" w:ascii="仿宋_GB2312" w:hAnsi="仿宋_GB2312" w:eastAsia="仿宋_GB2312" w:cs="仿宋_GB2312"/>
          <w:color w:val="000000"/>
          <w:sz w:val="32"/>
        </w:rPr>
        <w:t>常态化错峰生产</w:t>
      </w:r>
      <w:r>
        <w:rPr>
          <w:rFonts w:hint="eastAsia" w:ascii="仿宋_GB2312" w:hAnsi="仿宋_GB2312" w:eastAsia="仿宋_GB2312" w:cs="仿宋_GB2312"/>
          <w:color w:val="000000"/>
          <w:sz w:val="32"/>
          <w:lang w:eastAsia="zh-CN"/>
        </w:rPr>
        <w:t>，有效减少大气污染物的排放量</w:t>
      </w:r>
      <w:r>
        <w:rPr>
          <w:rFonts w:hint="eastAsia" w:ascii="仿宋_GB2312" w:hAnsi="仿宋_GB2312" w:eastAsia="仿宋_GB2312" w:cs="仿宋_GB2312"/>
          <w:color w:val="000000"/>
          <w:sz w:val="32"/>
        </w:rPr>
        <w:t>。</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市发改委</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工信局、生态环境局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能源局</w:t>
      </w:r>
      <w:r>
        <w:rPr>
          <w:rFonts w:hint="eastAsia" w:ascii="楷体_GB2312" w:hAnsi="楷体_GB2312" w:eastAsia="楷体_GB2312" w:cs="楷体_GB2312"/>
          <w:color w:val="000000"/>
          <w:sz w:val="32"/>
        </w:rPr>
        <w:t>等按职责分工负责，</w:t>
      </w:r>
      <w:r>
        <w:rPr>
          <w:rFonts w:hint="eastAsia" w:ascii="楷体_GB2312" w:hAnsi="楷体_GB2312" w:eastAsia="楷体_GB2312" w:cs="楷体_GB2312"/>
          <w:color w:val="000000"/>
          <w:sz w:val="32"/>
          <w:lang w:eastAsia="zh-CN"/>
        </w:rPr>
        <w:t>各旗市区</w:t>
      </w:r>
      <w:r>
        <w:rPr>
          <w:rFonts w:hint="eastAsia" w:ascii="楷体_GB2312" w:hAnsi="楷体_GB2312" w:eastAsia="楷体_GB2312" w:cs="楷体_GB2312"/>
          <w:color w:val="000000"/>
          <w:sz w:val="32"/>
        </w:rPr>
        <w:t>人民政府</w:t>
      </w:r>
      <w:r>
        <w:rPr>
          <w:rFonts w:hint="eastAsia" w:ascii="楷体_GB2312" w:hAnsi="楷体_GB2312" w:eastAsia="楷体_GB2312" w:cs="楷体_GB2312"/>
          <w:color w:val="000000"/>
          <w:sz w:val="32"/>
          <w:lang w:eastAsia="zh-CN"/>
        </w:rPr>
        <w:t>、呼伦贝尔经济技术开发区管委会</w:t>
      </w:r>
      <w:r>
        <w:rPr>
          <w:rFonts w:hint="eastAsia" w:ascii="楷体_GB2312" w:hAnsi="楷体_GB2312" w:eastAsia="楷体_GB2312" w:cs="楷体_GB2312"/>
          <w:color w:val="000000"/>
          <w:sz w:val="32"/>
        </w:rPr>
        <w:t>落实。以下均需</w:t>
      </w:r>
      <w:r>
        <w:rPr>
          <w:rFonts w:hint="eastAsia" w:ascii="楷体_GB2312" w:hAnsi="楷体_GB2312" w:eastAsia="楷体_GB2312" w:cs="楷体_GB2312"/>
          <w:color w:val="000000"/>
          <w:sz w:val="32"/>
          <w:lang w:eastAsia="zh-CN"/>
        </w:rPr>
        <w:t>各旗市区</w:t>
      </w:r>
      <w:r>
        <w:rPr>
          <w:rFonts w:hint="eastAsia" w:ascii="楷体_GB2312" w:hAnsi="楷体_GB2312" w:eastAsia="楷体_GB2312" w:cs="楷体_GB2312"/>
          <w:color w:val="000000"/>
          <w:sz w:val="32"/>
        </w:rPr>
        <w:t>人民政府</w:t>
      </w:r>
      <w:r>
        <w:rPr>
          <w:rFonts w:hint="eastAsia" w:ascii="楷体_GB2312" w:hAnsi="楷体_GB2312" w:eastAsia="楷体_GB2312" w:cs="楷体_GB2312"/>
          <w:color w:val="000000"/>
          <w:sz w:val="32"/>
          <w:lang w:eastAsia="zh-CN"/>
        </w:rPr>
        <w:t>、呼伦贝尔经济技术开发区管委会</w:t>
      </w:r>
      <w:r>
        <w:rPr>
          <w:rFonts w:hint="eastAsia" w:ascii="楷体_GB2312" w:hAnsi="楷体_GB2312" w:eastAsia="楷体_GB2312" w:cs="楷体_GB2312"/>
          <w:color w:val="000000"/>
          <w:sz w:val="32"/>
        </w:rPr>
        <w:t>落实</w:t>
      </w:r>
      <w:r>
        <w:rPr>
          <w:rFonts w:hint="eastAsia" w:ascii="Times New Roman" w:hAnsi="Times New Roman" w:eastAsia="仿宋_GB2312" w:cs="黑体"/>
          <w:color w:val="000000"/>
          <w:sz w:val="32"/>
        </w:rPr>
        <w:t>，</w:t>
      </w:r>
      <w:r>
        <w:rPr>
          <w:rFonts w:hint="eastAsia" w:ascii="楷体_GB2312" w:hAnsi="楷体_GB2312" w:eastAsia="楷体_GB2312" w:cs="楷体_GB2312"/>
          <w:color w:val="000000"/>
          <w:sz w:val="32"/>
        </w:rPr>
        <w:t>不再列出）</w:t>
      </w:r>
    </w:p>
    <w:p w14:paraId="07C8C918">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二</w:t>
      </w:r>
      <w:r>
        <w:rPr>
          <w:rFonts w:hint="eastAsia" w:ascii="Times New Roman" w:hAnsi="Times New Roman" w:eastAsia="楷体_GB2312" w:cs="黑体"/>
          <w:b/>
          <w:color w:val="000000"/>
          <w:sz w:val="32"/>
        </w:rPr>
        <w:t>）实施低</w:t>
      </w:r>
      <w:r>
        <w:rPr>
          <w:rFonts w:hint="eastAsia" w:ascii="Times New Roman" w:hAnsi="Times New Roman" w:eastAsia="楷体_GB2312" w:cs="Times New Roman"/>
          <w:b/>
          <w:color w:val="000000"/>
          <w:sz w:val="32"/>
        </w:rPr>
        <w:t>（无）</w:t>
      </w:r>
      <w:r>
        <w:rPr>
          <w:rFonts w:hint="eastAsia" w:ascii="楷体_GB2312" w:hAnsi="楷体_GB2312" w:eastAsia="楷体_GB2312" w:cs="楷体_GB2312"/>
          <w:b/>
          <w:color w:val="000000"/>
          <w:sz w:val="32"/>
        </w:rPr>
        <w:t>VOCs</w:t>
      </w:r>
      <w:r>
        <w:rPr>
          <w:rFonts w:hint="eastAsia" w:ascii="Times New Roman" w:hAnsi="Times New Roman" w:eastAsia="楷体_GB2312" w:cs="黑体"/>
          <w:b/>
          <w:color w:val="000000"/>
          <w:sz w:val="32"/>
        </w:rPr>
        <w:t>含量原辅材料替代。</w:t>
      </w:r>
      <w:r>
        <w:rPr>
          <w:rFonts w:ascii="Times New Roman" w:hAnsi="Times New Roman" w:eastAsia="仿宋_GB2312" w:cs="黑体"/>
          <w:color w:val="000000"/>
          <w:sz w:val="32"/>
        </w:rPr>
        <w:t>严格控制生产和使</w:t>
      </w:r>
      <w:r>
        <w:rPr>
          <w:rFonts w:hint="eastAsia" w:ascii="仿宋_GB2312" w:hAnsi="仿宋_GB2312" w:eastAsia="仿宋_GB2312" w:cs="仿宋_GB2312"/>
          <w:color w:val="000000"/>
          <w:sz w:val="32"/>
        </w:rPr>
        <w:t>用高VOCs含量涂料、油墨、胶粘剂、清洗剂等建设项目，提高水性、高固体分、无溶剂、粉末等低（无）VOCs含量产品的比重，对现有使用企业制定实施低（无）VOCs含量原辅材料替代计划。除特殊功能要求外的室内地坪施工、室外构筑物防护和城市道路交通标志，其他房屋建筑和市政工程基本使用低（无）VOCs含量涂料。</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工信局、住建局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公安局</w:t>
      </w:r>
      <w:r>
        <w:rPr>
          <w:rFonts w:hint="eastAsia" w:ascii="楷体_GB2312" w:hAnsi="楷体_GB2312" w:eastAsia="楷体_GB2312" w:cs="楷体_GB2312"/>
          <w:color w:val="000000"/>
          <w:sz w:val="32"/>
        </w:rPr>
        <w:t>等按职责分工负责）</w:t>
      </w:r>
    </w:p>
    <w:p w14:paraId="74B15C16">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三</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推动</w:t>
      </w:r>
      <w:r>
        <w:rPr>
          <w:rFonts w:hint="eastAsia" w:ascii="Times New Roman" w:hAnsi="Times New Roman" w:eastAsia="楷体_GB2312" w:cs="黑体"/>
          <w:b/>
          <w:color w:val="000000"/>
          <w:sz w:val="32"/>
        </w:rPr>
        <w:t>传统产业升级改造。</w:t>
      </w:r>
      <w:r>
        <w:rPr>
          <w:rFonts w:hint="eastAsia" w:ascii="Times New Roman" w:hAnsi="Times New Roman" w:eastAsia="仿宋_GB2312" w:cs="黑体"/>
          <w:color w:val="000000"/>
          <w:sz w:val="32"/>
          <w:lang w:eastAsia="zh-CN"/>
        </w:rPr>
        <w:t>结合我市实际，</w:t>
      </w:r>
      <w:r>
        <w:rPr>
          <w:rFonts w:ascii="Times New Roman" w:hAnsi="Times New Roman" w:eastAsia="仿宋_GB2312" w:cs="黑体"/>
          <w:color w:val="000000"/>
          <w:sz w:val="32"/>
        </w:rPr>
        <w:t>按照</w:t>
      </w:r>
      <w:r>
        <w:rPr>
          <w:rFonts w:hint="eastAsia" w:ascii="Times New Roman" w:hAnsi="Times New Roman" w:eastAsia="仿宋_GB2312" w:cs="黑体"/>
          <w:color w:val="000000"/>
          <w:sz w:val="32"/>
          <w:lang w:eastAsia="zh-CN"/>
        </w:rPr>
        <w:t>“</w:t>
      </w:r>
      <w:r>
        <w:rPr>
          <w:rFonts w:ascii="Times New Roman" w:hAnsi="Times New Roman" w:eastAsia="仿宋_GB2312" w:cs="黑体"/>
          <w:color w:val="000000"/>
          <w:sz w:val="32"/>
        </w:rPr>
        <w:t>一</w:t>
      </w:r>
      <w:r>
        <w:rPr>
          <w:rFonts w:hint="eastAsia" w:ascii="Times New Roman" w:hAnsi="Times New Roman" w:eastAsia="仿宋_GB2312" w:cs="黑体"/>
          <w:color w:val="000000"/>
          <w:sz w:val="32"/>
          <w:lang w:eastAsia="zh-CN"/>
        </w:rPr>
        <w:t>企</w:t>
      </w:r>
      <w:r>
        <w:rPr>
          <w:rFonts w:ascii="Times New Roman" w:hAnsi="Times New Roman" w:eastAsia="仿宋_GB2312" w:cs="黑体"/>
          <w:color w:val="000000"/>
          <w:sz w:val="32"/>
        </w:rPr>
        <w:t>一策、分类施治</w:t>
      </w:r>
      <w:r>
        <w:rPr>
          <w:rFonts w:hint="eastAsia" w:ascii="Times New Roman" w:hAnsi="Times New Roman" w:eastAsia="仿宋_GB2312" w:cs="黑体"/>
          <w:color w:val="000000"/>
          <w:sz w:val="32"/>
          <w:lang w:eastAsia="zh-CN"/>
        </w:rPr>
        <w:t>”</w:t>
      </w:r>
      <w:r>
        <w:rPr>
          <w:rFonts w:ascii="Times New Roman" w:hAnsi="Times New Roman" w:eastAsia="仿宋_GB2312" w:cs="黑体"/>
          <w:color w:val="000000"/>
          <w:sz w:val="32"/>
        </w:rPr>
        <w:t>的原则制定整治提升方案</w:t>
      </w:r>
      <w:r>
        <w:rPr>
          <w:rFonts w:hint="eastAsia" w:ascii="仿宋_GB2312" w:hAnsi="仿宋_GB2312" w:eastAsia="仿宋_GB2312" w:cs="仿宋_GB2312"/>
          <w:color w:val="000000"/>
          <w:sz w:val="32"/>
        </w:rPr>
        <w:t>，依法淘汰关停一批、搬迁入园一批</w:t>
      </w:r>
      <w:r>
        <w:rPr>
          <w:rFonts w:hint="eastAsia" w:ascii="仿宋_GB2312" w:hAnsi="仿宋_GB2312" w:eastAsia="仿宋_GB2312" w:cs="仿宋_GB2312"/>
          <w:color w:val="000000"/>
          <w:sz w:val="32"/>
          <w:lang w:eastAsia="zh-CN"/>
        </w:rPr>
        <w:t>、就</w:t>
      </w:r>
      <w:r>
        <w:rPr>
          <w:rFonts w:hint="eastAsia" w:ascii="仿宋_GB2312" w:hAnsi="仿宋_GB2312" w:eastAsia="仿宋_GB2312" w:cs="仿宋_GB2312"/>
          <w:color w:val="000000"/>
          <w:sz w:val="32"/>
        </w:rPr>
        <w:t>地改造一批、做优做强一批，2027年底前基本完成整治。中小型传统制造企业集中的</w:t>
      </w:r>
      <w:r>
        <w:rPr>
          <w:rFonts w:hint="eastAsia" w:ascii="仿宋_GB2312" w:hAnsi="仿宋_GB2312" w:eastAsia="仿宋_GB2312" w:cs="仿宋_GB2312"/>
          <w:color w:val="000000"/>
          <w:sz w:val="32"/>
          <w:lang w:eastAsia="zh-CN"/>
        </w:rPr>
        <w:t>旗市区</w:t>
      </w:r>
      <w:r>
        <w:rPr>
          <w:rFonts w:hint="eastAsia" w:ascii="仿宋_GB2312" w:hAnsi="仿宋_GB2312" w:eastAsia="仿宋_GB2312" w:cs="仿宋_GB2312"/>
          <w:color w:val="000000"/>
          <w:sz w:val="32"/>
        </w:rPr>
        <w:t>要制定涉</w:t>
      </w:r>
      <w:r>
        <w:rPr>
          <w:rFonts w:hint="eastAsia" w:ascii="Times New Roman" w:hAnsi="Times New Roman" w:eastAsia="仿宋_GB2312" w:cs="黑体"/>
          <w:color w:val="000000"/>
          <w:sz w:val="32"/>
        </w:rPr>
        <w:t>气产业发展规划，</w:t>
      </w:r>
      <w:r>
        <w:rPr>
          <w:rFonts w:hint="eastAsia" w:ascii="Times New Roman" w:hAnsi="Times New Roman" w:eastAsia="仿宋_GB2312" w:cs="黑体"/>
          <w:color w:val="000000"/>
          <w:sz w:val="32"/>
          <w:lang w:eastAsia="zh-CN"/>
        </w:rPr>
        <w:t>明确产业发展方向和定位，</w:t>
      </w:r>
      <w:r>
        <w:rPr>
          <w:rFonts w:hint="eastAsia" w:ascii="Times New Roman" w:hAnsi="Times New Roman" w:eastAsia="仿宋_GB2312" w:cs="黑体"/>
          <w:color w:val="000000"/>
          <w:sz w:val="32"/>
        </w:rPr>
        <w:t>严格项目审批，严防污染下乡。</w:t>
      </w:r>
      <w:r>
        <w:rPr>
          <w:rFonts w:hint="eastAsia" w:ascii="仿宋_GB2312" w:hAnsi="仿宋_GB2312" w:eastAsia="仿宋_GB2312" w:cs="仿宋_GB2312"/>
          <w:color w:val="000000"/>
          <w:sz w:val="32"/>
        </w:rPr>
        <w:t>根据产业特点</w:t>
      </w:r>
      <w:r>
        <w:rPr>
          <w:rFonts w:hint="eastAsia" w:ascii="仿宋_GB2312" w:hAnsi="仿宋_GB2312" w:eastAsia="仿宋_GB2312" w:cs="仿宋_GB2312"/>
          <w:color w:val="000000"/>
          <w:sz w:val="32"/>
          <w:lang w:eastAsia="zh-CN"/>
        </w:rPr>
        <w:t>，因地制宜建设集中供热、供汽、活性炭再生等中心</w:t>
      </w:r>
      <w:r>
        <w:rPr>
          <w:rFonts w:hint="eastAsia" w:ascii="仿宋_GB2312" w:hAnsi="仿宋_GB2312" w:eastAsia="仿宋_GB2312" w:cs="仿宋_GB2312"/>
          <w:color w:val="000000"/>
          <w:sz w:val="32"/>
        </w:rPr>
        <w:t>，切实提升产业发展质量和环保治理水平。</w:t>
      </w:r>
      <w:r>
        <w:rPr>
          <w:rFonts w:hint="eastAsia" w:ascii="Times New Roman" w:hAnsi="Times New Roman" w:eastAsia="仿宋_GB2312" w:cs="黑体"/>
          <w:color w:val="000000"/>
          <w:sz w:val="32"/>
        </w:rPr>
        <w:t>加大监督检查力度，严防“散乱污”企业反弹。</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市发改委</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工信局、生态环境局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能源局、市场监管局</w:t>
      </w:r>
      <w:r>
        <w:rPr>
          <w:rFonts w:hint="eastAsia" w:ascii="楷体_GB2312" w:hAnsi="楷体_GB2312" w:eastAsia="楷体_GB2312" w:cs="楷体_GB2312"/>
          <w:color w:val="000000"/>
          <w:sz w:val="32"/>
        </w:rPr>
        <w:t>等按职责分工负责）</w:t>
      </w:r>
    </w:p>
    <w:p w14:paraId="09FAB07B">
      <w:pPr>
        <w:keepNext/>
        <w:keepLines/>
        <w:pageBreakBefore w:val="0"/>
        <w:widowControl w:val="0"/>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rPr>
        <w:t>三、推动能源清洁高效发展</w:t>
      </w:r>
    </w:p>
    <w:p w14:paraId="1B321509">
      <w:pPr>
        <w:pageBreakBefore w:val="0"/>
        <w:widowControl w:val="0"/>
        <w:bidi w:val="0"/>
        <w:spacing w:line="600" w:lineRule="exact"/>
        <w:ind w:firstLine="632"/>
        <w:rPr>
          <w:rFonts w:ascii="楷体_GB2312" w:hAnsi="楷体_GB2312" w:eastAsia="楷体_GB2312" w:cs="楷体_GB2312"/>
          <w:color w:val="000000"/>
          <w:sz w:val="32"/>
          <w:highlight w:val="none"/>
        </w:rPr>
      </w:pPr>
      <w:r>
        <w:rPr>
          <w:rFonts w:hint="eastAsia" w:ascii="Times New Roman" w:hAnsi="Times New Roman" w:eastAsia="楷体_GB2312" w:cs="黑体"/>
          <w:b/>
          <w:color w:val="000000"/>
          <w:sz w:val="32"/>
          <w:highlight w:val="none"/>
        </w:rPr>
        <w:t>（</w:t>
      </w:r>
      <w:r>
        <w:rPr>
          <w:rFonts w:hint="eastAsia" w:ascii="Times New Roman" w:hAnsi="Times New Roman" w:eastAsia="楷体_GB2312" w:cs="黑体"/>
          <w:b/>
          <w:color w:val="000000"/>
          <w:sz w:val="32"/>
          <w:highlight w:val="none"/>
          <w:lang w:eastAsia="zh-CN"/>
        </w:rPr>
        <w:t>四</w:t>
      </w:r>
      <w:r>
        <w:rPr>
          <w:rFonts w:hint="eastAsia" w:ascii="Times New Roman" w:hAnsi="Times New Roman" w:eastAsia="楷体_GB2312" w:cs="黑体"/>
          <w:b/>
          <w:color w:val="000000"/>
          <w:sz w:val="32"/>
          <w:highlight w:val="none"/>
        </w:rPr>
        <w:t>）</w:t>
      </w:r>
      <w:r>
        <w:rPr>
          <w:rFonts w:hint="eastAsia" w:ascii="Times New Roman" w:hAnsi="Times New Roman" w:eastAsia="楷体_GB2312" w:cs="黑体"/>
          <w:b/>
          <w:color w:val="000000"/>
          <w:sz w:val="32"/>
          <w:highlight w:val="none"/>
          <w:lang w:eastAsia="zh-CN"/>
        </w:rPr>
        <w:t>优化</w:t>
      </w:r>
      <w:r>
        <w:rPr>
          <w:rFonts w:hint="eastAsia" w:ascii="Times New Roman" w:hAnsi="Times New Roman" w:eastAsia="楷体_GB2312" w:cs="黑体"/>
          <w:b/>
          <w:color w:val="000000"/>
          <w:sz w:val="32"/>
          <w:highlight w:val="none"/>
        </w:rPr>
        <w:t>能源结构。</w:t>
      </w:r>
      <w:r>
        <w:rPr>
          <w:rFonts w:hint="eastAsia" w:ascii="Times New Roman" w:hAnsi="Times New Roman" w:eastAsia="仿宋_GB2312" w:cs="黑体"/>
          <w:color w:val="000000"/>
          <w:sz w:val="32"/>
          <w:highlight w:val="none"/>
        </w:rPr>
        <w:t>推动燃煤清洁高效发电和绿色低碳改造，加快传统煤化工升级改造。实施自备燃煤机组清洁能源替代，严禁在政策允许的领域以外新</w:t>
      </w:r>
      <w:r>
        <w:rPr>
          <w:rFonts w:hint="eastAsia" w:ascii="Times New Roman" w:hAnsi="Times New Roman" w:eastAsia="仿宋_GB2312" w:cs="黑体"/>
          <w:color w:val="000000"/>
          <w:sz w:val="32"/>
          <w:highlight w:val="none"/>
          <w:lang w:eastAsia="zh-CN"/>
        </w:rPr>
        <w:t>（</w:t>
      </w:r>
      <w:r>
        <w:rPr>
          <w:rFonts w:hint="eastAsia" w:ascii="Times New Roman" w:hAnsi="Times New Roman" w:eastAsia="仿宋_GB2312" w:cs="黑体"/>
          <w:color w:val="000000"/>
          <w:sz w:val="32"/>
          <w:highlight w:val="none"/>
        </w:rPr>
        <w:t>扩</w:t>
      </w:r>
      <w:r>
        <w:rPr>
          <w:rFonts w:hint="eastAsia" w:ascii="Times New Roman" w:hAnsi="Times New Roman" w:eastAsia="仿宋_GB2312" w:cs="黑体"/>
          <w:color w:val="000000"/>
          <w:sz w:val="32"/>
          <w:highlight w:val="none"/>
          <w:lang w:eastAsia="zh-CN"/>
        </w:rPr>
        <w:t>）</w:t>
      </w:r>
      <w:r>
        <w:rPr>
          <w:rFonts w:hint="eastAsia" w:ascii="Times New Roman" w:hAnsi="Times New Roman" w:eastAsia="仿宋_GB2312" w:cs="黑体"/>
          <w:color w:val="000000"/>
          <w:sz w:val="32"/>
          <w:highlight w:val="none"/>
        </w:rPr>
        <w:t>建自备燃煤机组。</w:t>
      </w:r>
      <w:r>
        <w:rPr>
          <w:rFonts w:hint="eastAsia" w:ascii="Times New Roman" w:hAnsi="Times New Roman" w:eastAsia="仿宋_GB2312" w:cs="黑体"/>
          <w:color w:val="000000"/>
          <w:sz w:val="32"/>
          <w:highlight w:val="none"/>
          <w:lang w:eastAsia="zh-CN"/>
        </w:rPr>
        <w:t>全力推动</w:t>
      </w:r>
      <w:r>
        <w:rPr>
          <w:rFonts w:hint="eastAsia" w:ascii="Times New Roman" w:hAnsi="Times New Roman" w:eastAsia="仿宋_GB2312" w:cs="黑体"/>
          <w:color w:val="000000"/>
          <w:sz w:val="32"/>
          <w:highlight w:val="none"/>
        </w:rPr>
        <w:t>新能源装机规模，完成</w:t>
      </w:r>
      <w:r>
        <w:rPr>
          <w:rFonts w:hint="eastAsia" w:ascii="Times New Roman" w:hAnsi="Times New Roman" w:eastAsia="仿宋_GB2312" w:cs="黑体"/>
          <w:color w:val="000000"/>
          <w:sz w:val="32"/>
          <w:highlight w:val="none"/>
          <w:lang w:eastAsia="zh-CN"/>
        </w:rPr>
        <w:t>自治区</w:t>
      </w:r>
      <w:r>
        <w:rPr>
          <w:rFonts w:hint="eastAsia" w:ascii="Times New Roman" w:hAnsi="Times New Roman" w:eastAsia="仿宋_GB2312" w:cs="黑体"/>
          <w:color w:val="000000"/>
          <w:sz w:val="32"/>
          <w:highlight w:val="none"/>
        </w:rPr>
        <w:t>下达的可再生能源电力消纳任务；</w:t>
      </w:r>
      <w:r>
        <w:rPr>
          <w:rFonts w:ascii="Times New Roman" w:hAnsi="Times New Roman" w:eastAsia="仿宋_GB2312" w:cs="黑体"/>
          <w:color w:val="000000"/>
          <w:sz w:val="32"/>
          <w:highlight w:val="none"/>
        </w:rPr>
        <w:t>非化石能源消费比重</w:t>
      </w:r>
      <w:r>
        <w:rPr>
          <w:rFonts w:hint="eastAsia" w:ascii="Times New Roman" w:hAnsi="Times New Roman" w:eastAsia="仿宋_GB2312" w:cs="黑体"/>
          <w:color w:val="000000"/>
          <w:sz w:val="32"/>
          <w:highlight w:val="none"/>
          <w:lang w:eastAsia="zh-CN"/>
        </w:rPr>
        <w:t>、</w:t>
      </w:r>
      <w:r>
        <w:rPr>
          <w:rFonts w:ascii="Times New Roman" w:hAnsi="Times New Roman" w:eastAsia="仿宋_GB2312" w:cs="黑体"/>
          <w:color w:val="000000"/>
          <w:sz w:val="32"/>
          <w:highlight w:val="none"/>
        </w:rPr>
        <w:t>电能在工业终端能源消费比重</w:t>
      </w:r>
      <w:r>
        <w:rPr>
          <w:rFonts w:hint="eastAsia" w:ascii="Times New Roman" w:hAnsi="Times New Roman" w:eastAsia="仿宋_GB2312" w:cs="黑体"/>
          <w:color w:val="000000"/>
          <w:sz w:val="32"/>
          <w:highlight w:val="none"/>
          <w:lang w:eastAsia="zh-CN"/>
        </w:rPr>
        <w:t>、</w:t>
      </w:r>
      <w:r>
        <w:rPr>
          <w:rFonts w:ascii="Times New Roman" w:hAnsi="Times New Roman" w:eastAsia="仿宋_GB2312" w:cs="黑体"/>
          <w:color w:val="000000"/>
          <w:sz w:val="32"/>
          <w:highlight w:val="none"/>
        </w:rPr>
        <w:t>煤炭消费</w:t>
      </w:r>
      <w:r>
        <w:rPr>
          <w:rFonts w:hint="eastAsia" w:ascii="Times New Roman" w:hAnsi="Times New Roman" w:eastAsia="仿宋_GB2312" w:cs="黑体"/>
          <w:color w:val="000000"/>
          <w:sz w:val="32"/>
          <w:highlight w:val="none"/>
        </w:rPr>
        <w:t>占</w:t>
      </w:r>
      <w:r>
        <w:rPr>
          <w:rFonts w:hint="eastAsia" w:ascii="Times New Roman" w:hAnsi="Times New Roman" w:eastAsia="仿宋_GB2312" w:cs="黑体"/>
          <w:color w:val="000000"/>
          <w:sz w:val="32"/>
          <w:highlight w:val="none"/>
          <w:lang w:eastAsia="zh-CN"/>
        </w:rPr>
        <w:t>全市</w:t>
      </w:r>
      <w:r>
        <w:rPr>
          <w:rFonts w:ascii="Times New Roman" w:hAnsi="Times New Roman" w:eastAsia="仿宋_GB2312" w:cs="黑体"/>
          <w:color w:val="000000"/>
          <w:sz w:val="32"/>
          <w:highlight w:val="none"/>
        </w:rPr>
        <w:t>能源消费总量比重</w:t>
      </w:r>
      <w:r>
        <w:rPr>
          <w:rFonts w:hint="eastAsia" w:ascii="Times New Roman" w:hAnsi="Times New Roman" w:eastAsia="仿宋_GB2312" w:cs="黑体"/>
          <w:color w:val="000000"/>
          <w:sz w:val="32"/>
          <w:highlight w:val="none"/>
          <w:lang w:eastAsia="zh-CN"/>
        </w:rPr>
        <w:t>达到自治区下达的任务要求</w:t>
      </w:r>
      <w:r>
        <w:rPr>
          <w:rFonts w:ascii="Times New Roman" w:hAnsi="Times New Roman" w:eastAsia="仿宋_GB2312" w:cs="黑体"/>
          <w:color w:val="000000"/>
          <w:sz w:val="32"/>
          <w:highlight w:val="none"/>
        </w:rPr>
        <w:t>。</w:t>
      </w:r>
      <w:r>
        <w:rPr>
          <w:rFonts w:hint="eastAsia" w:ascii="楷体_GB2312" w:hAnsi="楷体_GB2312" w:eastAsia="楷体_GB2312" w:cs="楷体_GB2312"/>
          <w:color w:val="000000"/>
          <w:sz w:val="32"/>
          <w:highlight w:val="none"/>
        </w:rPr>
        <w:t>（</w:t>
      </w:r>
      <w:r>
        <w:rPr>
          <w:rFonts w:hint="eastAsia" w:ascii="楷体_GB2312" w:hAnsi="楷体_GB2312" w:eastAsia="楷体_GB2312" w:cs="楷体_GB2312"/>
          <w:color w:val="000000"/>
          <w:sz w:val="32"/>
          <w:highlight w:val="none"/>
          <w:lang w:eastAsia="zh-CN"/>
        </w:rPr>
        <w:t>市发改委</w:t>
      </w:r>
      <w:r>
        <w:rPr>
          <w:rFonts w:hint="eastAsia" w:ascii="楷体_GB2312" w:hAnsi="楷体_GB2312" w:eastAsia="楷体_GB2312" w:cs="楷体_GB2312"/>
          <w:color w:val="000000"/>
          <w:sz w:val="32"/>
          <w:highlight w:val="none"/>
        </w:rPr>
        <w:t>、</w:t>
      </w:r>
      <w:r>
        <w:rPr>
          <w:rFonts w:hint="eastAsia" w:ascii="楷体_GB2312" w:hAnsi="楷体_GB2312" w:eastAsia="楷体_GB2312" w:cs="楷体_GB2312"/>
          <w:color w:val="000000"/>
          <w:sz w:val="32"/>
          <w:highlight w:val="none"/>
          <w:lang w:eastAsia="zh-CN"/>
        </w:rPr>
        <w:t>能源局、工信局</w:t>
      </w:r>
      <w:r>
        <w:rPr>
          <w:rFonts w:hint="eastAsia" w:ascii="楷体_GB2312" w:hAnsi="楷体_GB2312" w:eastAsia="楷体_GB2312" w:cs="楷体_GB2312"/>
          <w:color w:val="000000"/>
          <w:sz w:val="32"/>
          <w:highlight w:val="none"/>
        </w:rPr>
        <w:t>、</w:t>
      </w:r>
      <w:r>
        <w:rPr>
          <w:rFonts w:hint="eastAsia" w:ascii="楷体_GB2312" w:hAnsi="楷体_GB2312" w:eastAsia="楷体_GB2312" w:cs="楷体_GB2312"/>
          <w:color w:val="000000"/>
          <w:sz w:val="32"/>
          <w:highlight w:val="none"/>
          <w:lang w:eastAsia="zh-CN"/>
        </w:rPr>
        <w:t>生态环境局</w:t>
      </w:r>
      <w:r>
        <w:rPr>
          <w:rFonts w:hint="eastAsia" w:ascii="楷体_GB2312" w:hAnsi="楷体_GB2312" w:eastAsia="楷体_GB2312" w:cs="楷体_GB2312"/>
          <w:color w:val="000000"/>
          <w:sz w:val="32"/>
          <w:highlight w:val="none"/>
        </w:rPr>
        <w:t>等按职责分工负责）</w:t>
      </w:r>
    </w:p>
    <w:p w14:paraId="426DB7B6">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五</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推进</w:t>
      </w:r>
      <w:r>
        <w:rPr>
          <w:rFonts w:hint="eastAsia" w:ascii="Times New Roman" w:hAnsi="Times New Roman" w:eastAsia="楷体_GB2312" w:cs="黑体"/>
          <w:b/>
          <w:color w:val="000000"/>
          <w:sz w:val="32"/>
        </w:rPr>
        <w:t>工业炉窑清洁能源替代。</w:t>
      </w:r>
      <w:r>
        <w:rPr>
          <w:rFonts w:hint="eastAsia" w:ascii="Times New Roman" w:hAnsi="Times New Roman" w:eastAsia="仿宋_GB2312" w:cs="黑体"/>
          <w:color w:val="000000"/>
          <w:sz w:val="32"/>
        </w:rPr>
        <w:t>因地制宜有序推进加热炉、热处理炉、干燥炉、熔化炉以电代煤，积极稳妥推进以气代煤。淘汰并禁止新建不符合产业政策的燃料类煤气发生炉</w:t>
      </w:r>
      <w:r>
        <w:rPr>
          <w:rFonts w:hint="eastAsia" w:ascii="Times New Roman" w:hAnsi="Times New Roman" w:eastAsia="仿宋_GB2312" w:cs="黑体"/>
          <w:color w:val="000000"/>
          <w:sz w:val="32"/>
          <w:lang w:eastAsia="zh-CN"/>
        </w:rPr>
        <w:t>。稳步</w:t>
      </w:r>
      <w:r>
        <w:rPr>
          <w:rFonts w:hint="eastAsia" w:ascii="Times New Roman" w:hAnsi="Times New Roman" w:eastAsia="仿宋_GB2312" w:cs="黑体"/>
          <w:color w:val="000000"/>
          <w:sz w:val="32"/>
        </w:rPr>
        <w:t>推进使用高污染燃料的工业炉窑改用工业余热、电能、天然气等。推进燃料类煤气发生炉采用清洁能源替代。</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市工信局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发改委、生态环境局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能源局</w:t>
      </w:r>
      <w:r>
        <w:rPr>
          <w:rFonts w:hint="eastAsia" w:ascii="楷体_GB2312" w:hAnsi="楷体_GB2312" w:eastAsia="楷体_GB2312" w:cs="楷体_GB2312"/>
          <w:color w:val="000000"/>
          <w:sz w:val="32"/>
        </w:rPr>
        <w:t>等按职责分工负责）</w:t>
      </w:r>
    </w:p>
    <w:p w14:paraId="6AB45605">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六</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开展</w:t>
      </w:r>
      <w:r>
        <w:rPr>
          <w:rFonts w:hint="eastAsia" w:ascii="Times New Roman" w:hAnsi="Times New Roman" w:eastAsia="楷体_GB2312" w:cs="黑体"/>
          <w:b/>
          <w:color w:val="000000"/>
          <w:sz w:val="32"/>
        </w:rPr>
        <w:t>燃煤锅炉淘汰整治。</w:t>
      </w:r>
      <w:r>
        <w:rPr>
          <w:rFonts w:hint="eastAsia" w:ascii="仿宋_GB2312" w:hAnsi="仿宋_GB2312" w:eastAsia="仿宋_GB2312" w:cs="仿宋_GB2312"/>
          <w:color w:val="000000"/>
          <w:sz w:val="32"/>
        </w:rPr>
        <w:t>推进老旧管网改造，充分释放热电联产、工业余热等供热能力，淘汰管网覆盖范围内的燃煤锅炉和散煤。</w:t>
      </w:r>
      <w:r>
        <w:rPr>
          <w:rFonts w:ascii="Times New Roman" w:hAnsi="Times New Roman" w:eastAsia="仿宋_GB2312" w:cs="黑体"/>
          <w:color w:val="000000"/>
          <w:sz w:val="32"/>
        </w:rPr>
        <w:t>旗</w:t>
      </w:r>
      <w:r>
        <w:rPr>
          <w:rFonts w:hint="eastAsia" w:ascii="Times New Roman" w:hAnsi="Times New Roman" w:eastAsia="仿宋_GB2312" w:cs="黑体"/>
          <w:color w:val="000000"/>
          <w:sz w:val="32"/>
          <w:lang w:eastAsia="zh-CN"/>
        </w:rPr>
        <w:t>市区</w:t>
      </w:r>
      <w:r>
        <w:rPr>
          <w:rFonts w:ascii="Times New Roman" w:hAnsi="Times New Roman" w:eastAsia="仿宋_GB2312" w:cs="黑体"/>
          <w:color w:val="000000"/>
          <w:sz w:val="32"/>
        </w:rPr>
        <w:t>及以上城市建成区、工业园区原则上不再新</w:t>
      </w:r>
      <w:r>
        <w:rPr>
          <w:rFonts w:hint="eastAsia" w:ascii="仿宋_GB2312" w:hAnsi="仿宋_GB2312" w:eastAsia="仿宋_GB2312" w:cs="仿宋_GB2312"/>
          <w:color w:val="000000"/>
          <w:sz w:val="32"/>
        </w:rPr>
        <w:t>建35蒸吨/小时及以下燃煤锅炉，其他地区原则上不再新建10蒸吨/小时以下燃煤锅炉。2025年底前，</w:t>
      </w:r>
      <w:r>
        <w:rPr>
          <w:rFonts w:hint="eastAsia" w:ascii="仿宋_GB2312" w:hAnsi="仿宋_GB2312" w:eastAsia="仿宋_GB2312" w:cs="仿宋_GB2312"/>
          <w:color w:val="000000"/>
          <w:sz w:val="32"/>
          <w:lang w:eastAsia="zh-CN"/>
        </w:rPr>
        <w:t>海拉尔区</w:t>
      </w:r>
      <w:r>
        <w:rPr>
          <w:rFonts w:hint="eastAsia" w:ascii="仿宋_GB2312" w:hAnsi="仿宋_GB2312" w:eastAsia="仿宋_GB2312" w:cs="仿宋_GB2312"/>
          <w:color w:val="000000"/>
          <w:sz w:val="32"/>
        </w:rPr>
        <w:t>城市建成区基本淘汰现役35蒸吨/小时（</w:t>
      </w:r>
      <w:r>
        <w:rPr>
          <w:rFonts w:ascii="Times New Roman" w:hAnsi="Times New Roman" w:eastAsia="仿宋_GB2312" w:cs="黑体"/>
          <w:color w:val="000000"/>
          <w:sz w:val="32"/>
        </w:rPr>
        <w:t>不含）以下燃煤锅炉。</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发改委</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工信局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住建局、能源局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市场监管局</w:t>
      </w:r>
      <w:r>
        <w:rPr>
          <w:rFonts w:hint="eastAsia" w:ascii="楷体_GB2312" w:hAnsi="楷体_GB2312" w:eastAsia="楷体_GB2312" w:cs="楷体_GB2312"/>
          <w:color w:val="000000"/>
          <w:sz w:val="32"/>
        </w:rPr>
        <w:t>等按职责分工负责）</w:t>
      </w:r>
    </w:p>
    <w:p w14:paraId="7C18D0B8">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highlight w:val="none"/>
        </w:rPr>
        <w:t>（</w:t>
      </w:r>
      <w:r>
        <w:rPr>
          <w:rFonts w:hint="eastAsia" w:ascii="Times New Roman" w:hAnsi="Times New Roman" w:eastAsia="楷体_GB2312" w:cs="黑体"/>
          <w:b/>
          <w:color w:val="000000"/>
          <w:sz w:val="32"/>
          <w:highlight w:val="none"/>
          <w:lang w:eastAsia="zh-CN"/>
        </w:rPr>
        <w:t>七</w:t>
      </w:r>
      <w:r>
        <w:rPr>
          <w:rFonts w:hint="eastAsia" w:ascii="Times New Roman" w:hAnsi="Times New Roman" w:eastAsia="楷体_GB2312" w:cs="黑体"/>
          <w:b/>
          <w:color w:val="000000"/>
          <w:sz w:val="32"/>
          <w:highlight w:val="none"/>
        </w:rPr>
        <w:t>）</w:t>
      </w:r>
      <w:r>
        <w:rPr>
          <w:rFonts w:hint="eastAsia" w:ascii="Times New Roman" w:hAnsi="Times New Roman" w:eastAsia="楷体_GB2312" w:cs="黑体"/>
          <w:b/>
          <w:color w:val="000000"/>
          <w:sz w:val="32"/>
          <w:highlight w:val="none"/>
          <w:lang w:eastAsia="zh-CN"/>
        </w:rPr>
        <w:t>推动</w:t>
      </w:r>
      <w:r>
        <w:rPr>
          <w:rFonts w:hint="eastAsia" w:ascii="Times New Roman" w:hAnsi="Times New Roman" w:eastAsia="楷体_GB2312" w:cs="黑体"/>
          <w:b/>
          <w:color w:val="000000"/>
          <w:sz w:val="32"/>
          <w:highlight w:val="none"/>
        </w:rPr>
        <w:t>清洁取暖改造。</w:t>
      </w:r>
      <w:r>
        <w:rPr>
          <w:rFonts w:hint="eastAsia" w:ascii="仿宋_GB2312" w:hAnsi="仿宋_GB2312" w:eastAsia="仿宋_GB2312" w:cs="仿宋_GB2312"/>
          <w:color w:val="000000"/>
          <w:sz w:val="32"/>
        </w:rPr>
        <w:t>全面提升建筑能效水平，加快既有农房节能改造。稳妥推进农</w:t>
      </w:r>
      <w:r>
        <w:rPr>
          <w:rFonts w:hint="eastAsia" w:ascii="仿宋_GB2312" w:hAnsi="仿宋_GB2312" w:eastAsia="仿宋_GB2312" w:cs="仿宋_GB2312"/>
          <w:color w:val="000000"/>
          <w:sz w:val="32"/>
          <w:lang w:eastAsia="zh-CN"/>
        </w:rPr>
        <w:t>村</w:t>
      </w:r>
      <w:r>
        <w:rPr>
          <w:rFonts w:hint="eastAsia" w:ascii="仿宋_GB2312" w:hAnsi="仿宋_GB2312" w:eastAsia="仿宋_GB2312" w:cs="仿宋_GB2312"/>
          <w:color w:val="000000"/>
          <w:sz w:val="32"/>
        </w:rPr>
        <w:t>牧区居民生活、设施农牧业散煤替代。高污染燃料禁燃区，防止散煤复烧，实现高污染燃料禁燃区内散煤“清零”。加强煤质监管，严厉打击销售使用劣质煤行业。</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市住建局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能源局、财政局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市场监管局</w:t>
      </w:r>
      <w:r>
        <w:rPr>
          <w:rFonts w:hint="eastAsia" w:ascii="楷体_GB2312" w:hAnsi="楷体_GB2312" w:eastAsia="楷体_GB2312" w:cs="楷体_GB2312"/>
          <w:color w:val="000000"/>
          <w:sz w:val="32"/>
        </w:rPr>
        <w:t>等按职责分工负责）</w:t>
      </w:r>
    </w:p>
    <w:p w14:paraId="1B25E08A">
      <w:pPr>
        <w:keepNext/>
        <w:keepLines/>
        <w:pageBreakBefore w:val="0"/>
        <w:widowControl w:val="0"/>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rPr>
        <w:t>四、推进交通绿色低碳转型</w:t>
      </w:r>
    </w:p>
    <w:p w14:paraId="25FD0DF7">
      <w:pPr>
        <w:pageBreakBefore w:val="0"/>
        <w:widowControl w:val="0"/>
        <w:bidi w:val="0"/>
        <w:spacing w:line="600" w:lineRule="exact"/>
        <w:ind w:firstLine="632"/>
        <w:rPr>
          <w:rFonts w:ascii="Times New Roman" w:hAnsi="Times New Roman" w:eastAsia="仿宋_GB2312" w:cs="黑体"/>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八</w:t>
      </w:r>
      <w:r>
        <w:rPr>
          <w:rFonts w:hint="eastAsia" w:ascii="Times New Roman" w:hAnsi="Times New Roman" w:eastAsia="楷体_GB2312" w:cs="黑体"/>
          <w:b/>
          <w:color w:val="000000"/>
          <w:sz w:val="32"/>
        </w:rPr>
        <w:t>）优化调整货物运输结构。</w:t>
      </w:r>
      <w:r>
        <w:rPr>
          <w:rFonts w:hint="eastAsia" w:ascii="仿宋_GB2312" w:hAnsi="仿宋_GB2312" w:eastAsia="仿宋_GB2312" w:cs="仿宋_GB2312"/>
          <w:color w:val="000000"/>
          <w:sz w:val="32"/>
        </w:rPr>
        <w:t>优化货物运输方式，大宗货物中长距离运输优先采用铁路运输，短距离运输优先采用封闭式皮带廊道、管道或新能源车。探索将清洁运输作为煤矿、火电、有色、煤化工等行业新改扩建项目审核和监管重点。新建及迁建大宗货物年运量150万吨以上的物流园区、工矿企业和储煤基地，原则上接入铁路专用线或管道，采用清洁方式向周边地区输配</w:t>
      </w:r>
      <w:r>
        <w:rPr>
          <w:rFonts w:hint="eastAsia" w:ascii="仿宋_GB2312" w:hAnsi="仿宋_GB2312" w:eastAsia="仿宋_GB2312" w:cs="仿宋_GB2312"/>
          <w:color w:val="000000"/>
          <w:sz w:val="32"/>
          <w:lang w:eastAsia="zh-CN"/>
        </w:rPr>
        <w:t>。到2025年，全市铁路货运量比2020年增长百分比、运距500公里以上跨省（区、市）外运的煤炭和焦炭采用铁路运输比例达到自治区考核目标。</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市交通运输局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发改委、生态环境局</w:t>
      </w:r>
      <w:r>
        <w:rPr>
          <w:rFonts w:hint="eastAsia" w:ascii="楷体_GB2312" w:hAnsi="楷体_GB2312" w:eastAsia="楷体_GB2312" w:cs="楷体_GB2312"/>
          <w:color w:val="000000"/>
          <w:sz w:val="32"/>
        </w:rPr>
        <w:t>等按职责分工负责）</w:t>
      </w:r>
    </w:p>
    <w:p w14:paraId="7879D98F">
      <w:pPr>
        <w:pageBreakBefore w:val="0"/>
        <w:widowControl w:val="0"/>
        <w:bidi w:val="0"/>
        <w:spacing w:line="600" w:lineRule="exact"/>
        <w:ind w:firstLine="632"/>
        <w:rPr>
          <w:rFonts w:ascii="楷体_GB2312" w:hAnsi="楷体_GB2312" w:eastAsia="楷体_GB2312" w:cs="楷体_GB2312"/>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九</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开展</w:t>
      </w:r>
      <w:r>
        <w:rPr>
          <w:rFonts w:hint="eastAsia" w:ascii="Times New Roman" w:hAnsi="Times New Roman" w:eastAsia="楷体_GB2312" w:cs="黑体"/>
          <w:b/>
          <w:color w:val="000000"/>
          <w:sz w:val="32"/>
        </w:rPr>
        <w:t>成品油质量全过程管控。</w:t>
      </w:r>
      <w:r>
        <w:rPr>
          <w:rFonts w:hint="eastAsia" w:ascii="仿宋_GB2312" w:hAnsi="仿宋_GB2312" w:eastAsia="仿宋_GB2312" w:cs="仿宋_GB2312"/>
          <w:color w:val="000000"/>
          <w:sz w:val="32"/>
        </w:rPr>
        <w:t>严格执行车用油品质量标准，加强油品进口、生产、仓储、销售、运输、使用等全环节监管，全面清理整顿无证无照的自建油罐、流动加油车和黑加油站点</w:t>
      </w:r>
      <w:r>
        <w:rPr>
          <w:rFonts w:hint="eastAsia" w:ascii="仿宋_GB2312" w:hAnsi="仿宋_GB2312" w:eastAsia="仿宋_GB2312" w:cs="仿宋_GB2312"/>
          <w:color w:val="000000"/>
          <w:sz w:val="32"/>
          <w:lang w:eastAsia="zh-CN"/>
        </w:rPr>
        <w:t>；坚决打击非标油品作为发动机燃料销售等行为。</w:t>
      </w:r>
      <w:r>
        <w:rPr>
          <w:rFonts w:hint="eastAsia" w:ascii="仿宋_GB2312" w:hAnsi="仿宋_GB2312" w:eastAsia="仿宋_GB2312" w:cs="仿宋_GB2312"/>
          <w:color w:val="000000"/>
          <w:sz w:val="32"/>
        </w:rPr>
        <w:t>加大柴油使用环节检查力度，提升货车、非道路移动机械油箱中柴油抽测频次，对发现的线索进行追溯，严厉追究相关生产、销售、运输者主体责任。各旗市区应每月至少开展一次柴油车抽测全年抽测比例不低于当地柴油车保有量的5%。</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市能源局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公安局、交通运输局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商务局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市场监管局</w:t>
      </w:r>
      <w:r>
        <w:rPr>
          <w:rFonts w:hint="eastAsia" w:ascii="楷体_GB2312" w:hAnsi="楷体_GB2312" w:eastAsia="楷体_GB2312" w:cs="楷体_GB2312"/>
          <w:color w:val="000000"/>
          <w:sz w:val="32"/>
        </w:rPr>
        <w:t>、满洲里海关等按分工负责）</w:t>
      </w:r>
    </w:p>
    <w:p w14:paraId="6F6B2DB1">
      <w:pPr>
        <w:pageBreakBefore w:val="0"/>
        <w:widowControl w:val="0"/>
        <w:bidi w:val="0"/>
        <w:spacing w:line="600" w:lineRule="exact"/>
        <w:ind w:firstLine="632"/>
        <w:rPr>
          <w:rFonts w:ascii="楷体_GB2312" w:hAnsi="楷体_GB2312" w:eastAsia="楷体_GB2312" w:cs="楷体_GB2312"/>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十</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推动</w:t>
      </w:r>
      <w:r>
        <w:rPr>
          <w:rFonts w:hint="eastAsia" w:ascii="Times New Roman" w:hAnsi="Times New Roman" w:eastAsia="楷体_GB2312" w:cs="黑体"/>
          <w:b/>
          <w:color w:val="000000"/>
          <w:sz w:val="32"/>
        </w:rPr>
        <w:t>非道路移动源综合治理。</w:t>
      </w:r>
      <w:r>
        <w:rPr>
          <w:rFonts w:hint="eastAsia" w:ascii="仿宋_GB2312" w:hAnsi="仿宋_GB2312" w:eastAsia="仿宋_GB2312" w:cs="仿宋_GB2312"/>
          <w:color w:val="000000"/>
          <w:sz w:val="32"/>
          <w:lang w:eastAsia="zh-CN"/>
        </w:rPr>
        <w:t>因地制宜加快</w:t>
      </w:r>
      <w:r>
        <w:rPr>
          <w:rFonts w:hint="eastAsia" w:ascii="仿宋_GB2312" w:hAnsi="仿宋_GB2312" w:eastAsia="仿宋_GB2312" w:cs="仿宋_GB2312"/>
          <w:color w:val="000000"/>
          <w:sz w:val="32"/>
        </w:rPr>
        <w:t>推进铁路货场、物流园区、机场，以及火电、煤炭、建材、矿山等工矿企业内部作业车辆和机械新能源更新改造，鼓励新增及更新的3吨以下叉车实现新能源化。到2025年，基本消除非道路移动机械“冒黑烟”现象，基本淘汰第一阶段及以下排放标准的非道路移动机械。持续开展非道路移动机械编码登记</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使用自治区非道路移动机械监管平台进行编码登记，督促指导非道路机械所有人尽快完成非道路移动机械申报登记，对审核通过的机械发放环保标牌和信息采集卡，同时组织开展非道路机械排放监督抽测，抽测率不低于 10%，到2025年，完成城区工程机械环保编码登记三级联网，做到应登尽登。</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市生态环境局、发改委</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工信局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住建局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交通运</w:t>
      </w:r>
      <w:r>
        <w:rPr>
          <w:rFonts w:hint="eastAsia" w:ascii="楷体_GB2312" w:hAnsi="楷体_GB2312" w:eastAsia="楷体_GB2312" w:cs="楷体_GB2312"/>
          <w:color w:val="000000"/>
          <w:spacing w:val="-6"/>
          <w:sz w:val="32"/>
          <w:lang w:eastAsia="zh-CN"/>
        </w:rPr>
        <w:t>输局</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农牧局</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能源局</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市场监管局</w:t>
      </w:r>
      <w:r>
        <w:rPr>
          <w:rFonts w:hint="eastAsia" w:ascii="楷体_GB2312" w:hAnsi="楷体_GB2312" w:eastAsia="楷体_GB2312" w:cs="楷体_GB2312"/>
          <w:color w:val="000000"/>
          <w:spacing w:val="-6"/>
          <w:sz w:val="32"/>
        </w:rPr>
        <w:t>等按职责分工负责）</w:t>
      </w:r>
    </w:p>
    <w:p w14:paraId="147EB290">
      <w:pPr>
        <w:pageBreakBefore w:val="0"/>
        <w:widowControl w:val="0"/>
        <w:bidi w:val="0"/>
        <w:spacing w:line="600" w:lineRule="exact"/>
        <w:ind w:firstLine="632"/>
        <w:rPr>
          <w:rFonts w:ascii="楷体_GB2312" w:hAnsi="楷体_GB2312" w:eastAsia="楷体_GB2312" w:cs="楷体_GB2312"/>
          <w:color w:val="000000"/>
          <w:sz w:val="32"/>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一</w:t>
      </w:r>
      <w:r>
        <w:rPr>
          <w:rFonts w:hint="eastAsia" w:ascii="Times New Roman" w:hAnsi="Times New Roman" w:eastAsia="楷体_GB2312" w:cs="黑体"/>
          <w:b/>
          <w:color w:val="000000"/>
          <w:sz w:val="32"/>
        </w:rPr>
        <w:t>）提升机动车清洁化水平。</w:t>
      </w:r>
      <w:r>
        <w:rPr>
          <w:rFonts w:hint="eastAsia" w:ascii="仿宋_GB2312" w:hAnsi="仿宋_GB2312" w:eastAsia="仿宋_GB2312" w:cs="仿宋_GB2312"/>
          <w:color w:val="000000"/>
          <w:sz w:val="32"/>
        </w:rPr>
        <w:t>在火电、煤炭、有色、水泥等行业和物流园区推广“新能源重卡+散改集”运输模式。加快推进城市建成区新增和更新的公交、环卫、出租、通勤、轻型物流配送车辆采用新能源、清洁能源汽车。全面实施国VI机动车、国IV非道路移动机械排放标准。加强机动车排放检验机构监管，对辖区内的机动车排放检验机构每季度至少开展一次现场检查，严厉打击检验机构伪造检验结果、出具虚假报告等违法行为。加强重型货车路检路查，以及集中使用和停放地的入户检查，依法严厉打击各类违法行为</w:t>
      </w:r>
      <w:r>
        <w:rPr>
          <w:rFonts w:hint="eastAsia" w:ascii="仿宋_GB2312" w:hAnsi="仿宋_GB2312" w:eastAsia="仿宋_GB2312" w:cs="仿宋_GB2312"/>
          <w:color w:val="000000"/>
          <w:sz w:val="32"/>
          <w:lang w:eastAsia="zh-CN"/>
        </w:rPr>
        <w:t>。按时报送机动车环境执法数据，每月5日前将上月的路检路查、入户抽查、机构检查、油品尿素检查、新车检查、遥感处罚、油气回收检查、非道路处罚相关数据进行统计汇总，上报市生态环境局。</w:t>
      </w:r>
      <w:r>
        <w:rPr>
          <w:rFonts w:hint="eastAsia" w:ascii="仿宋_GB2312" w:hAnsi="仿宋_GB2312" w:eastAsia="仿宋_GB2312" w:cs="仿宋_GB2312"/>
          <w:color w:val="000000"/>
          <w:sz w:val="32"/>
        </w:rPr>
        <w:t>到2025年，新能源和国六排放标准货车保有量占比</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新能源及清洁能源公交车比例</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高速公路服务区快充站覆盖率</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柴油货车排放检测合格率</w:t>
      </w:r>
      <w:r>
        <w:rPr>
          <w:rFonts w:hint="eastAsia" w:ascii="仿宋_GB2312" w:hAnsi="仿宋_GB2312" w:eastAsia="仿宋_GB2312" w:cs="仿宋_GB2312"/>
          <w:color w:val="000000"/>
          <w:sz w:val="32"/>
          <w:lang w:eastAsia="zh-CN"/>
        </w:rPr>
        <w:t>达到自治区下达的任务要求</w:t>
      </w:r>
      <w:r>
        <w:rPr>
          <w:rFonts w:hint="eastAsia" w:ascii="仿宋_GB2312" w:hAnsi="仿宋_GB2312" w:eastAsia="仿宋_GB2312" w:cs="仿宋_GB2312"/>
          <w:color w:val="000000"/>
          <w:sz w:val="32"/>
        </w:rPr>
        <w:t>。</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市工信局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交通运输局、公安局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住建局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市能源局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市场监管局</w:t>
      </w:r>
      <w:r>
        <w:rPr>
          <w:rFonts w:hint="eastAsia" w:ascii="楷体_GB2312" w:hAnsi="楷体_GB2312" w:eastAsia="楷体_GB2312" w:cs="楷体_GB2312"/>
          <w:color w:val="000000"/>
          <w:sz w:val="32"/>
        </w:rPr>
        <w:t>等按职责分工负责）</w:t>
      </w:r>
    </w:p>
    <w:p w14:paraId="5E373195">
      <w:pPr>
        <w:keepNext/>
        <w:keepLines/>
        <w:pageBreakBefore w:val="0"/>
        <w:widowControl w:val="0"/>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rPr>
        <w:t>五、提升精细化管理水平</w:t>
      </w:r>
    </w:p>
    <w:p w14:paraId="54B7C6AD">
      <w:pPr>
        <w:pageBreakBefore w:val="0"/>
        <w:widowControl w:val="0"/>
        <w:bidi w:val="0"/>
        <w:spacing w:line="600" w:lineRule="exact"/>
        <w:ind w:firstLine="632"/>
        <w:rPr>
          <w:rFonts w:hint="eastAsia" w:ascii="Times New Roman" w:hAnsi="Times New Roman" w:eastAsia="楷体_GB2312" w:cs="黑体"/>
          <w:b/>
          <w:color w:val="000000"/>
          <w:sz w:val="32"/>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二</w:t>
      </w:r>
      <w:r>
        <w:rPr>
          <w:rFonts w:hint="eastAsia" w:ascii="Times New Roman" w:hAnsi="Times New Roman" w:eastAsia="楷体_GB2312" w:cs="黑体"/>
          <w:b/>
          <w:color w:val="000000"/>
          <w:sz w:val="32"/>
        </w:rPr>
        <w:t>）推进矿山生态环境综合整治。</w:t>
      </w:r>
      <w:r>
        <w:rPr>
          <w:rFonts w:hint="eastAsia" w:ascii="Times New Roman" w:hAnsi="Times New Roman" w:eastAsia="仿宋_GB2312" w:cs="黑体"/>
          <w:color w:val="000000"/>
          <w:sz w:val="32"/>
        </w:rPr>
        <w:t>强化矿山企业开采、装卸、运输、储存等各环节减尘抑尘措施，有效抑制扬尘污染</w:t>
      </w:r>
      <w:r>
        <w:rPr>
          <w:rFonts w:hint="eastAsia" w:ascii="Times New Roman" w:hAnsi="Times New Roman" w:eastAsia="仿宋_GB2312" w:cs="黑体"/>
          <w:color w:val="000000"/>
          <w:sz w:val="32"/>
          <w:lang w:eastAsia="zh-CN"/>
        </w:rPr>
        <w:t>。</w:t>
      </w:r>
      <w:r>
        <w:rPr>
          <w:rFonts w:hint="eastAsia" w:ascii="Times New Roman" w:hAnsi="Times New Roman" w:eastAsia="仿宋_GB2312" w:cs="黑体"/>
          <w:color w:val="000000"/>
          <w:sz w:val="32"/>
        </w:rPr>
        <w:t>新建矿山原则上要同步建设铁路专用线或采用其他清洁运输方式。对限期整改仍不达标矿山，根据安全生产、水土保持、生态环境等要求依法依规予以关闭。加强煤矿、煤矸石堆场火点治理，发现一处、治理一处，实现火点“动态清零”。</w:t>
      </w:r>
      <w:r>
        <w:rPr>
          <w:rFonts w:hint="eastAsia" w:ascii="楷体_GB2312" w:hAnsi="楷体_GB2312" w:eastAsia="楷体_GB2312" w:cs="楷体_GB2312"/>
          <w:color w:val="000000"/>
          <w:sz w:val="32"/>
          <w:lang w:eastAsia="zh-CN"/>
        </w:rPr>
        <w:t>（市自然资源局、能源局、生态环境局、水利局、林草局、应急管理局等按职责分工负责）</w:t>
      </w:r>
    </w:p>
    <w:p w14:paraId="37D1A91A">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三</w:t>
      </w:r>
      <w:r>
        <w:rPr>
          <w:rFonts w:hint="eastAsia" w:ascii="Times New Roman" w:hAnsi="Times New Roman" w:eastAsia="楷体_GB2312" w:cs="黑体"/>
          <w:b/>
          <w:color w:val="000000"/>
          <w:sz w:val="32"/>
        </w:rPr>
        <w:t>）深化扬尘污染综合治理。</w:t>
      </w:r>
      <w:r>
        <w:rPr>
          <w:rFonts w:hint="eastAsia" w:ascii="Times New Roman" w:hAnsi="Times New Roman" w:eastAsia="仿宋_GB2312" w:cs="黑体"/>
          <w:color w:val="000000"/>
          <w:sz w:val="32"/>
          <w:lang w:eastAsia="zh-CN"/>
        </w:rPr>
        <w:t>加强施工工地扬尘污染管控，落实建设单位和施工单位扬尘防控责任，严格执行工地周边围挡、物料堆放覆盖、土方开挖湿法作业、路面硬化、出入车辆清洗、渣土车辆密闭运输“六个百分之百”。将防治扬尘污染费用纳入工程造价。对城市公共区域、长期未开发建设裸地、废旧厂区、物流园区、大型停车场等进行排查建档，并采取绿化、硬化、清扫等防尘措施。加强工业企业扬尘污染管控，粉状物料堆场应采取全封闭，易产尘的生产环节应加强封闭性管理。加强运输扬尘管控，运输煤炭、渣土、石料、水泥、垃圾等物料的车辆采取密闭、全面苫盖等措施，规范渣土运输车辆通行时间和路线，严厉打击运输车辆带泥上路、运输途中物料遗撒、滴漏、扬散等行为，杜绝渣土车超高超载运输。加强道路扬尘综合治理，加大对车流量较大重要路段冲洗保洁频次，推进吸尘式机械化湿式清扫作业。</w:t>
      </w:r>
      <w:r>
        <w:rPr>
          <w:rFonts w:hint="eastAsia" w:ascii="仿宋_GB2312" w:hAnsi="仿宋_GB2312" w:eastAsia="仿宋_GB2312" w:cs="仿宋_GB2312"/>
          <w:color w:val="000000"/>
          <w:sz w:val="32"/>
          <w:lang w:eastAsia="zh-CN"/>
        </w:rPr>
        <w:t>到2025年，装配式建筑占新建建筑面积的比例力争达到30%；海拉尔区城市建成区道路机械化清扫率达80%左右，其余旗市区达70%左右。</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市住建局、交通运输局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公安局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生态环境局</w:t>
      </w:r>
      <w:r>
        <w:rPr>
          <w:rFonts w:hint="eastAsia" w:ascii="楷体_GB2312" w:hAnsi="楷体_GB2312" w:eastAsia="楷体_GB2312" w:cs="楷体_GB2312"/>
          <w:color w:val="000000"/>
          <w:sz w:val="32"/>
        </w:rPr>
        <w:t>等按职责分工负责）</w:t>
      </w:r>
    </w:p>
    <w:p w14:paraId="12F352C8">
      <w:pPr>
        <w:pageBreakBefore w:val="0"/>
        <w:widowControl w:val="0"/>
        <w:bidi w:val="0"/>
        <w:spacing w:line="600" w:lineRule="exact"/>
        <w:ind w:firstLine="632"/>
        <w:rPr>
          <w:rFonts w:ascii="楷体_GB2312" w:hAnsi="楷体_GB2312" w:eastAsia="楷体_GB2312" w:cs="楷体_GB2312"/>
          <w:color w:val="000000"/>
          <w:sz w:val="32"/>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四</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强化</w:t>
      </w:r>
      <w:r>
        <w:rPr>
          <w:rFonts w:hint="eastAsia" w:ascii="Times New Roman" w:hAnsi="Times New Roman" w:eastAsia="楷体_GB2312" w:cs="黑体"/>
          <w:b/>
          <w:color w:val="000000"/>
          <w:sz w:val="32"/>
        </w:rPr>
        <w:t>秸秆综合利用和禁烧。</w:t>
      </w:r>
      <w:r>
        <w:rPr>
          <w:rFonts w:hint="eastAsia" w:ascii="仿宋_GB2312" w:hAnsi="仿宋_GB2312" w:eastAsia="仿宋_GB2312" w:cs="仿宋_GB2312"/>
          <w:color w:val="000000"/>
          <w:sz w:val="32"/>
          <w:szCs w:val="32"/>
          <w:lang w:eastAsia="zh-CN"/>
        </w:rPr>
        <w:t>坚持</w:t>
      </w:r>
      <w:r>
        <w:rPr>
          <w:rFonts w:hint="eastAsia" w:ascii="仿宋_GB2312" w:hAnsi="仿宋_GB2312" w:eastAsia="仿宋_GB2312" w:cs="仿宋_GB2312"/>
          <w:color w:val="000000"/>
          <w:sz w:val="32"/>
          <w:szCs w:val="32"/>
        </w:rPr>
        <w:t>“政府引导、市场运作、疏堵结合、以疏为主”的原则，因地制宜推进秸秆肥料化、饲料化、燃料化、基料化和原料化利用。</w:t>
      </w:r>
      <w:r>
        <w:rPr>
          <w:rFonts w:hint="eastAsia" w:ascii="仿宋_GB2312" w:hAnsi="仿宋_GB2312" w:eastAsia="仿宋_GB2312" w:cs="仿宋_GB2312"/>
          <w:color w:val="000000"/>
          <w:sz w:val="32"/>
          <w:szCs w:val="32"/>
          <w:lang w:eastAsia="zh-CN"/>
        </w:rPr>
        <w:t>建立健全</w:t>
      </w:r>
      <w:r>
        <w:rPr>
          <w:rFonts w:hint="eastAsia" w:ascii="仿宋_GB2312" w:hAnsi="仿宋_GB2312" w:eastAsia="仿宋_GB2312" w:cs="仿宋_GB2312"/>
          <w:color w:val="000000"/>
          <w:sz w:val="32"/>
          <w:szCs w:val="32"/>
        </w:rPr>
        <w:t>秸秆收储运体系，提升秸秆产业化能力，提高离田效率，不断提高秸秆综合利用率，到2025年全市秸秆综合利用率达到90%。</w:t>
      </w:r>
      <w:r>
        <w:rPr>
          <w:rFonts w:hint="eastAsia" w:ascii="仿宋_GB2312" w:hAnsi="仿宋_GB2312" w:eastAsia="仿宋_GB2312" w:cs="仿宋_GB2312"/>
          <w:color w:val="000000"/>
          <w:sz w:val="32"/>
          <w:lang w:eastAsia="zh-CN"/>
        </w:rPr>
        <w:t>各地区要结合实际精准划分秸秆禁烧范围，并向社会公示。落实“三级”网格化监管体系，加大禁限烧区巡查力度，及时发现制止焚烧行为。</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市农牧局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发改委、生态环境局、</w:t>
      </w:r>
      <w:r>
        <w:rPr>
          <w:rFonts w:hint="eastAsia" w:ascii="楷体_GB2312" w:hAnsi="楷体_GB2312" w:eastAsia="楷体_GB2312" w:cs="楷体_GB2312"/>
          <w:color w:val="000000"/>
          <w:sz w:val="32"/>
        </w:rPr>
        <w:t>气象局等按职责分工负责）</w:t>
      </w:r>
    </w:p>
    <w:p w14:paraId="090CE631">
      <w:pPr>
        <w:keepNext/>
        <w:keepLines/>
        <w:pageBreakBefore w:val="0"/>
        <w:widowControl w:val="0"/>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rPr>
        <w:t>六、强化多污染物协同减排</w:t>
      </w:r>
    </w:p>
    <w:p w14:paraId="2053ACED">
      <w:pPr>
        <w:pageBreakBefore w:val="0"/>
        <w:widowControl w:val="0"/>
        <w:bidi w:val="0"/>
        <w:spacing w:line="600" w:lineRule="exact"/>
        <w:ind w:firstLine="632"/>
        <w:rPr>
          <w:rFonts w:hint="eastAsia" w:ascii="楷体_GB2312" w:hAnsi="楷体_GB2312" w:eastAsia="楷体_GB2312" w:cs="楷体_GB2312"/>
          <w:color w:val="000000"/>
          <w:sz w:val="32"/>
          <w:highlight w:val="none"/>
          <w:lang w:eastAsia="zh-CN"/>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五</w:t>
      </w:r>
      <w:r>
        <w:rPr>
          <w:rFonts w:hint="eastAsia" w:ascii="Times New Roman" w:hAnsi="Times New Roman" w:eastAsia="楷体_GB2312" w:cs="黑体"/>
          <w:b/>
          <w:color w:val="000000"/>
          <w:sz w:val="32"/>
        </w:rPr>
        <w:t>）推进重点行业污染深度治理。</w:t>
      </w:r>
      <w:r>
        <w:rPr>
          <w:rFonts w:hint="eastAsia" w:ascii="仿宋_GB2312" w:hAnsi="仿宋_GB2312" w:eastAsia="仿宋_GB2312" w:cs="仿宋_GB2312"/>
          <w:color w:val="000000"/>
          <w:sz w:val="32"/>
          <w:lang w:eastAsia="zh-CN"/>
        </w:rPr>
        <w:t>推进燃煤锅炉及水泥行业超低排放改造工作。</w:t>
      </w:r>
      <w:r>
        <w:rPr>
          <w:rFonts w:hint="eastAsia" w:ascii="仿宋_GB2312" w:hAnsi="仿宋_GB2312" w:eastAsia="仿宋_GB2312" w:cs="仿宋_GB2312"/>
          <w:color w:val="000000"/>
          <w:sz w:val="32"/>
          <w:lang w:val="en-US" w:eastAsia="zh-CN"/>
        </w:rPr>
        <w:t>2025年底前，全市</w:t>
      </w:r>
      <w:r>
        <w:rPr>
          <w:rFonts w:hint="eastAsia" w:ascii="仿宋_GB2312" w:hAnsi="仿宋_GB2312" w:eastAsia="仿宋_GB2312" w:cs="仿宋_GB2312"/>
          <w:color w:val="000000"/>
          <w:sz w:val="32"/>
        </w:rPr>
        <w:t>在用65蒸吨/小时以上的燃煤锅炉</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含电力</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基本完成超低排放改造，排放限值参照燃煤电厂超低排放改造要求</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2028年底前完成</w:t>
      </w:r>
      <w:r>
        <w:rPr>
          <w:rFonts w:hint="eastAsia" w:ascii="仿宋_GB2312" w:hAnsi="仿宋_GB2312" w:eastAsia="仿宋_GB2312" w:cs="仿宋_GB2312"/>
          <w:color w:val="000000"/>
          <w:sz w:val="32"/>
          <w:lang w:eastAsia="zh-CN"/>
        </w:rPr>
        <w:t>扎兰屯市龙北水泥有限公司、海拉尔蒙西水泥有限公司、阿荣旗蒙西水泥有限公司</w:t>
      </w:r>
      <w:r>
        <w:rPr>
          <w:rFonts w:hint="eastAsia" w:ascii="仿宋_GB2312" w:hAnsi="仿宋_GB2312" w:eastAsia="仿宋_GB2312" w:cs="仿宋_GB2312"/>
          <w:color w:val="000000"/>
          <w:sz w:val="32"/>
          <w:lang w:val="en-US" w:eastAsia="zh-CN"/>
        </w:rPr>
        <w:t>3家</w:t>
      </w:r>
      <w:r>
        <w:rPr>
          <w:rFonts w:hint="eastAsia" w:ascii="仿宋_GB2312" w:hAnsi="仿宋_GB2312" w:eastAsia="仿宋_GB2312" w:cs="仿宋_GB2312"/>
          <w:color w:val="000000"/>
          <w:sz w:val="32"/>
          <w:lang w:eastAsia="zh-CN"/>
        </w:rPr>
        <w:t>水泥企业</w:t>
      </w:r>
      <w:r>
        <w:rPr>
          <w:rFonts w:hint="eastAsia" w:ascii="仿宋_GB2312" w:hAnsi="仿宋_GB2312" w:eastAsia="仿宋_GB2312" w:cs="仿宋_GB2312"/>
          <w:color w:val="000000"/>
          <w:sz w:val="32"/>
        </w:rPr>
        <w:t>超低排放改造</w:t>
      </w:r>
      <w:r>
        <w:rPr>
          <w:rFonts w:hint="eastAsia" w:ascii="仿宋_GB2312" w:hAnsi="仿宋_GB2312" w:eastAsia="仿宋_GB2312" w:cs="仿宋_GB2312"/>
          <w:color w:val="000000"/>
          <w:sz w:val="32"/>
          <w:lang w:eastAsia="zh-CN"/>
        </w:rPr>
        <w:t>。</w:t>
      </w:r>
      <w:r>
        <w:rPr>
          <w:rFonts w:hint="eastAsia" w:ascii="楷体_GB2312" w:hAnsi="楷体_GB2312" w:eastAsia="楷体_GB2312" w:cs="楷体_GB2312"/>
          <w:color w:val="000000"/>
          <w:sz w:val="32"/>
          <w:highlight w:val="none"/>
          <w:lang w:eastAsia="zh-CN"/>
        </w:rPr>
        <w:t>（市生态环境局、工信局等部门按职责分工负责）</w:t>
      </w:r>
    </w:p>
    <w:p w14:paraId="6C96DFDC">
      <w:pPr>
        <w:pageBreakBefore w:val="0"/>
        <w:widowControl w:val="0"/>
        <w:bidi w:val="0"/>
        <w:spacing w:line="600" w:lineRule="exact"/>
        <w:ind w:firstLine="632"/>
        <w:rPr>
          <w:rFonts w:hint="eastAsia" w:ascii="楷体_GB2312" w:hAnsi="楷体_GB2312" w:eastAsia="楷体_GB2312" w:cs="楷体_GB2312"/>
          <w:color w:val="000000"/>
          <w:sz w:val="32"/>
          <w:lang w:eastAsia="zh-CN"/>
        </w:rPr>
      </w:pPr>
      <w:r>
        <w:rPr>
          <w:rFonts w:hint="eastAsia" w:ascii="仿宋_GB2312" w:hAnsi="仿宋_GB2312" w:eastAsia="仿宋_GB2312" w:cs="仿宋_GB2312"/>
          <w:color w:val="000000"/>
          <w:sz w:val="32"/>
        </w:rPr>
        <w:t>开展涉气行业低效失效治污设施排查整治，强化治污设施运行维护，减少非正常工况排放。强化工业企业扬尘管控，粉状物料堆场实施全封闭，重点企业须安装视频监控系统。生物质锅炉采用专用锅炉</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并配套高效治污设施。2025年底前</w:t>
      </w:r>
      <w:r>
        <w:rPr>
          <w:rFonts w:hint="eastAsia" w:ascii="仿宋_GB2312" w:hAnsi="仿宋_GB2312" w:eastAsia="仿宋_GB2312" w:cs="仿宋_GB2312"/>
          <w:color w:val="000000"/>
          <w:sz w:val="32"/>
          <w:lang w:eastAsia="zh-CN"/>
        </w:rPr>
        <w:t>，在用</w:t>
      </w:r>
      <w:r>
        <w:rPr>
          <w:rFonts w:hint="eastAsia" w:ascii="仿宋_GB2312" w:hAnsi="仿宋_GB2312" w:eastAsia="仿宋_GB2312" w:cs="仿宋_GB2312"/>
          <w:color w:val="000000"/>
          <w:sz w:val="32"/>
        </w:rPr>
        <w:t>燃气锅炉基本完成低氮改造，改造后氮氧化物排放浓度不高于50毫克/立方米。</w:t>
      </w:r>
      <w:r>
        <w:rPr>
          <w:rFonts w:hint="eastAsia" w:ascii="Times New Roman" w:hAnsi="Times New Roman" w:eastAsia="仿宋_GB2312" w:cs="黑体"/>
          <w:color w:val="000000"/>
          <w:sz w:val="32"/>
          <w:highlight w:val="none"/>
          <w:lang w:eastAsia="zh-CN"/>
        </w:rPr>
        <w:t>（</w:t>
      </w:r>
      <w:r>
        <w:rPr>
          <w:rFonts w:hint="eastAsia" w:ascii="楷体_GB2312" w:hAnsi="楷体_GB2312" w:eastAsia="楷体_GB2312" w:cs="楷体_GB2312"/>
          <w:color w:val="000000"/>
          <w:sz w:val="32"/>
          <w:highlight w:val="none"/>
          <w:lang w:eastAsia="zh-CN"/>
        </w:rPr>
        <w:t>市生态环</w:t>
      </w:r>
      <w:r>
        <w:rPr>
          <w:rFonts w:hint="eastAsia" w:ascii="楷体_GB2312" w:hAnsi="楷体_GB2312" w:eastAsia="楷体_GB2312" w:cs="楷体_GB2312"/>
          <w:color w:val="000000"/>
          <w:sz w:val="32"/>
          <w:lang w:eastAsia="zh-CN"/>
        </w:rPr>
        <w:t>境局、工信局、市场监管局等部门按职责分工负责）</w:t>
      </w:r>
    </w:p>
    <w:p w14:paraId="073B5A60">
      <w:pPr>
        <w:pageBreakBefore w:val="0"/>
        <w:widowControl w:val="0"/>
        <w:bidi w:val="0"/>
        <w:spacing w:line="600" w:lineRule="exact"/>
        <w:ind w:firstLine="632"/>
        <w:rPr>
          <w:rFonts w:hint="eastAsia" w:ascii="楷体_GB2312" w:hAnsi="楷体_GB2312" w:eastAsia="楷体_GB2312" w:cs="楷体_GB2312"/>
          <w:color w:val="000000"/>
          <w:sz w:val="32"/>
          <w:lang w:eastAsia="zh-CN"/>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六</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深化</w:t>
      </w:r>
      <w:r>
        <w:rPr>
          <w:rFonts w:hint="eastAsia" w:ascii="楷体_GB2312" w:hAnsi="楷体_GB2312" w:eastAsia="楷体_GB2312" w:cs="楷体_GB2312"/>
          <w:b/>
          <w:color w:val="000000"/>
          <w:sz w:val="32"/>
        </w:rPr>
        <w:t>VOCs全流程</w:t>
      </w:r>
      <w:r>
        <w:rPr>
          <w:rFonts w:hint="eastAsia" w:ascii="Times New Roman" w:hAnsi="Times New Roman" w:eastAsia="楷体_GB2312" w:cs="黑体"/>
          <w:b/>
          <w:color w:val="000000"/>
          <w:sz w:val="32"/>
        </w:rPr>
        <w:t>全环节综合治理。</w:t>
      </w:r>
      <w:r>
        <w:rPr>
          <w:rFonts w:hint="eastAsia" w:ascii="仿宋_GB2312" w:hAnsi="仿宋_GB2312" w:eastAsia="仿宋_GB2312" w:cs="仿宋_GB2312"/>
          <w:color w:val="000000"/>
          <w:sz w:val="32"/>
          <w:lang w:eastAsia="zh-CN"/>
        </w:rPr>
        <w:t>持续开展涉挥发性有机物企业摸排工作。排查整治涉VOCs物料储存、转移和输送、设备与管线组件泄漏、敞开液面逸散以及工艺过程排放等无组织排放源。重点排查有机废气排放旁路，除保障安全生产必须保留的应急类旁路外，督促企业采取彻底拆除、切断、物理隔离等方式对旁路予以取缔。实施低效VOCs治理设施提升工程，大力推行先进生产工艺和高效治污设施。对装载汽油、煤油等高挥发性化工产品的汽车罐车，推广使用自封式快速接头。含VOCs有机废水储罐、装置区集水井（池）有机废气要密闭收集处理。加强非正常工况废气排放控制。企业开停工、检维修期间，按照要求及时收集处理退料、清洗、吹扫等作业产生的VOCs废气。督促载有气态、液态VOCs物料的设备和管线组件密封点大于等于2000个的企业定期开展泄漏检查与修复工作（LDAR）。</w:t>
      </w:r>
      <w:r>
        <w:rPr>
          <w:rFonts w:hint="eastAsia" w:ascii="仿宋_GB2312" w:hAnsi="仿宋_GB2312" w:eastAsia="仿宋_GB2312" w:cs="仿宋_GB2312"/>
          <w:strike w:val="0"/>
          <w:color w:val="000000"/>
          <w:sz w:val="32"/>
          <w:highlight w:val="none"/>
          <w:lang w:eastAsia="zh-CN"/>
        </w:rPr>
        <w:t>企业</w:t>
      </w:r>
      <w:r>
        <w:rPr>
          <w:rFonts w:hint="eastAsia" w:ascii="仿宋_GB2312" w:hAnsi="仿宋_GB2312" w:eastAsia="仿宋_GB2312" w:cs="仿宋_GB2312"/>
          <w:color w:val="000000"/>
          <w:sz w:val="32"/>
          <w:lang w:eastAsia="zh-CN"/>
        </w:rPr>
        <w:t>不得将火炬燃烧装置作为日常大气污染处理设施。在保障安全的前提下，推进储油库、油罐车、加油站油气回收治理，引导加油站、储油库、油罐车等避开日间高温时段汽油装卸作业。加大油品储运销全过程VOCs排放控制力度，各地区每年至少开展1次油气回收系统专项检查工作。</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市生态环境局、应急管理局</w:t>
      </w:r>
      <w:r>
        <w:rPr>
          <w:rFonts w:hint="eastAsia" w:ascii="楷体_GB2312" w:hAnsi="楷体_GB2312" w:eastAsia="楷体_GB2312" w:cs="楷体_GB2312"/>
          <w:color w:val="000000"/>
          <w:sz w:val="32"/>
        </w:rPr>
        <w:t>等按职责分工负责）</w:t>
      </w:r>
    </w:p>
    <w:p w14:paraId="203203F8">
      <w:pPr>
        <w:pageBreakBefore w:val="0"/>
        <w:widowControl w:val="0"/>
        <w:bidi w:val="0"/>
        <w:spacing w:line="600" w:lineRule="exact"/>
        <w:ind w:firstLine="632"/>
        <w:rPr>
          <w:rFonts w:ascii="Times New Roman" w:hAnsi="Times New Roman" w:eastAsia="仿宋_GB2312" w:cs="黑体"/>
          <w:color w:val="000000"/>
          <w:sz w:val="32"/>
        </w:rPr>
      </w:pPr>
      <w:r>
        <w:rPr>
          <w:rFonts w:hint="eastAsia" w:ascii="Times New Roman" w:hAnsi="Times New Roman" w:eastAsia="楷体_GB2312" w:cs="黑体"/>
          <w:b/>
          <w:color w:val="000000"/>
          <w:sz w:val="32"/>
        </w:rPr>
        <w:t>（十</w:t>
      </w:r>
      <w:r>
        <w:rPr>
          <w:rFonts w:hint="eastAsia" w:ascii="Times New Roman" w:hAnsi="Times New Roman" w:eastAsia="楷体_GB2312" w:cs="黑体"/>
          <w:b/>
          <w:color w:val="000000"/>
          <w:sz w:val="32"/>
          <w:lang w:eastAsia="zh-CN"/>
        </w:rPr>
        <w:t>七</w:t>
      </w:r>
      <w:r>
        <w:rPr>
          <w:rFonts w:hint="eastAsia" w:ascii="Times New Roman" w:hAnsi="Times New Roman" w:eastAsia="楷体_GB2312" w:cs="黑体"/>
          <w:b/>
          <w:color w:val="000000"/>
          <w:sz w:val="32"/>
        </w:rPr>
        <w:t>）推进大气氨污染防控。</w:t>
      </w:r>
      <w:r>
        <w:rPr>
          <w:rFonts w:hint="eastAsia" w:ascii="仿宋_GB2312" w:hAnsi="仿宋_GB2312" w:eastAsia="仿宋_GB2312" w:cs="仿宋_GB2312"/>
          <w:color w:val="000000"/>
          <w:sz w:val="32"/>
        </w:rPr>
        <w:t>提升养殖业、种植业规模化和集约化水平，推进种养有机结合，提高畜禽粪污利用效率。鼓励</w:t>
      </w:r>
      <w:r>
        <w:rPr>
          <w:rFonts w:hint="eastAsia" w:ascii="仿宋_GB2312" w:hAnsi="仿宋_GB2312" w:eastAsia="仿宋_GB2312" w:cs="仿宋_GB2312"/>
          <w:color w:val="000000"/>
          <w:sz w:val="32"/>
          <w:lang w:eastAsia="zh-CN"/>
        </w:rPr>
        <w:t>饲养</w:t>
      </w:r>
      <w:r>
        <w:rPr>
          <w:rFonts w:hint="eastAsia" w:ascii="仿宋_GB2312" w:hAnsi="仿宋_GB2312" w:eastAsia="仿宋_GB2312" w:cs="仿宋_GB2312"/>
          <w:color w:val="000000"/>
          <w:sz w:val="32"/>
        </w:rPr>
        <w:t>猪、鸡等圈舍封闭管理，推进粪污输送、存储及处理设施封闭，加强废气收集和处理。推广测土配方施肥和肥料深施、水肥一体化、增施有机肥等高效施肥技术。加强氮肥、纯碱等行业氨排放治理，强化工业源烟气脱硫脱硝氨逃逸防控，浓度控制在8毫克/立方米以下。</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农牧局等</w:t>
      </w:r>
      <w:r>
        <w:rPr>
          <w:rFonts w:hint="eastAsia" w:ascii="楷体_GB2312" w:hAnsi="楷体_GB2312" w:eastAsia="楷体_GB2312" w:cs="楷体_GB2312"/>
          <w:color w:val="000000"/>
          <w:sz w:val="32"/>
        </w:rPr>
        <w:t>按职责分工负责）</w:t>
      </w:r>
    </w:p>
    <w:p w14:paraId="6541C323">
      <w:pPr>
        <w:pageBreakBefore w:val="0"/>
        <w:widowControl w:val="0"/>
        <w:bidi w:val="0"/>
        <w:spacing w:line="600" w:lineRule="exact"/>
        <w:ind w:firstLine="632"/>
        <w:rPr>
          <w:rFonts w:hint="eastAsia" w:ascii="楷体_GB2312" w:hAnsi="楷体_GB2312" w:eastAsia="楷体_GB2312" w:cs="楷体_GB2312"/>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十八</w:t>
      </w:r>
      <w:r>
        <w:rPr>
          <w:rFonts w:hint="eastAsia" w:ascii="Times New Roman" w:hAnsi="Times New Roman" w:eastAsia="楷体_GB2312" w:cs="黑体"/>
          <w:b/>
          <w:color w:val="000000"/>
          <w:sz w:val="32"/>
        </w:rPr>
        <w:t>）开展餐饮油烟和恶臭异味专项治理。</w:t>
      </w:r>
      <w:r>
        <w:rPr>
          <w:rFonts w:hint="eastAsia" w:ascii="仿宋_GB2312" w:hAnsi="仿宋_GB2312" w:eastAsia="仿宋_GB2312" w:cs="仿宋_GB2312"/>
          <w:color w:val="000000"/>
          <w:sz w:val="32"/>
        </w:rPr>
        <w:t>严格居民楼附近餐饮服务单位布局管理，拟开设餐饮服务单位的建筑应设计建设专用烟道，排放油烟的餐饮服务单位必须安装油烟净化设施。加强餐饮油烟污染治理设施维护和执法监管。开展恶臭异味扰民问题排查整治，群众反映强烈、投诉集中的工业园区、重点企业要安装运行在线监测系统。推动化工、制药</w:t>
      </w:r>
      <w:r>
        <w:rPr>
          <w:rFonts w:hint="eastAsia" w:ascii="仿宋_GB2312" w:hAnsi="仿宋_GB2312" w:eastAsia="仿宋_GB2312" w:cs="仿宋_GB2312"/>
          <w:color w:val="000000"/>
          <w:sz w:val="32"/>
          <w:lang w:eastAsia="zh-CN"/>
        </w:rPr>
        <w:t>、食品加工</w:t>
      </w:r>
      <w:r>
        <w:rPr>
          <w:rFonts w:hint="eastAsia" w:ascii="仿宋_GB2312" w:hAnsi="仿宋_GB2312" w:eastAsia="仿宋_GB2312" w:cs="仿宋_GB2312"/>
          <w:color w:val="000000"/>
          <w:sz w:val="32"/>
        </w:rPr>
        <w:t>等行业结合VOCs防治</w:t>
      </w:r>
      <w:r>
        <w:rPr>
          <w:rFonts w:hint="eastAsia" w:ascii="仿宋_GB2312" w:hAnsi="仿宋_GB2312" w:eastAsia="仿宋_GB2312" w:cs="仿宋_GB2312"/>
          <w:color w:val="000000"/>
          <w:sz w:val="32"/>
          <w:lang w:eastAsia="zh-CN"/>
        </w:rPr>
        <w:t>，</w:t>
      </w:r>
      <w:r>
        <w:rPr>
          <w:rFonts w:hint="eastAsia" w:ascii="仿宋_GB2312" w:hAnsi="仿宋_GB2312" w:eastAsia="仿宋_GB2312" w:cs="仿宋_GB2312"/>
          <w:color w:val="000000"/>
          <w:sz w:val="32"/>
        </w:rPr>
        <w:t>进一步</w:t>
      </w:r>
      <w:r>
        <w:rPr>
          <w:rFonts w:hint="eastAsia" w:ascii="仿宋_GB2312" w:hAnsi="仿宋_GB2312" w:eastAsia="仿宋_GB2312" w:cs="仿宋_GB2312"/>
          <w:color w:val="000000"/>
          <w:sz w:val="32"/>
          <w:lang w:eastAsia="zh-CN"/>
        </w:rPr>
        <w:t>实施恶臭深度治理。</w:t>
      </w:r>
      <w:r>
        <w:rPr>
          <w:rFonts w:hint="eastAsia" w:ascii="仿宋_GB2312" w:hAnsi="仿宋_GB2312" w:eastAsia="仿宋_GB2312" w:cs="仿宋_GB2312"/>
          <w:color w:val="000000"/>
          <w:sz w:val="32"/>
        </w:rPr>
        <w:t>加强垃圾、污水集中式污染处理设施重点环节恶臭防治。</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市生态环境局、住建局等</w:t>
      </w:r>
      <w:r>
        <w:rPr>
          <w:rFonts w:hint="eastAsia" w:ascii="楷体_GB2312" w:hAnsi="楷体_GB2312" w:eastAsia="楷体_GB2312" w:cs="楷体_GB2312"/>
          <w:color w:val="000000"/>
          <w:sz w:val="32"/>
        </w:rPr>
        <w:t>按职责分工负责）</w:t>
      </w:r>
    </w:p>
    <w:p w14:paraId="3394C32B">
      <w:pPr>
        <w:pageBreakBefore w:val="0"/>
        <w:widowControl w:val="0"/>
        <w:bidi w:val="0"/>
        <w:spacing w:line="600" w:lineRule="exact"/>
        <w:ind w:firstLine="632"/>
        <w:rPr>
          <w:rFonts w:hint="eastAsia" w:ascii="Times New Roman" w:hAnsi="Times New Roman" w:eastAsia="黑体" w:cs="黑体"/>
          <w:color w:val="000000"/>
          <w:sz w:val="32"/>
          <w:lang w:eastAsia="zh-CN"/>
        </w:rPr>
      </w:pPr>
      <w:r>
        <w:rPr>
          <w:rFonts w:hint="eastAsia" w:ascii="Times New Roman" w:hAnsi="Times New Roman" w:eastAsia="黑体" w:cs="黑体"/>
          <w:color w:val="000000"/>
          <w:sz w:val="32"/>
        </w:rPr>
        <w:t>七、完善大气环境管理体系</w:t>
      </w:r>
    </w:p>
    <w:p w14:paraId="1BB2C522">
      <w:pPr>
        <w:pageBreakBefore w:val="0"/>
        <w:widowControl w:val="0"/>
        <w:bidi w:val="0"/>
        <w:spacing w:line="600" w:lineRule="exact"/>
        <w:ind w:firstLine="632"/>
        <w:rPr>
          <w:rFonts w:ascii="Times New Roman" w:hAnsi="Times New Roman" w:eastAsia="仿宋_GB2312" w:cs="黑体"/>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十九</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实施</w:t>
      </w:r>
      <w:r>
        <w:rPr>
          <w:rFonts w:hint="eastAsia" w:ascii="Times New Roman" w:hAnsi="Times New Roman" w:eastAsia="楷体_GB2312" w:cs="黑体"/>
          <w:b/>
          <w:color w:val="000000"/>
          <w:sz w:val="32"/>
        </w:rPr>
        <w:t>重污染天气应对机制。</w:t>
      </w:r>
      <w:r>
        <w:rPr>
          <w:rFonts w:hint="eastAsia" w:ascii="仿宋_GB2312" w:hAnsi="仿宋_GB2312" w:eastAsia="仿宋_GB2312" w:cs="仿宋_GB2312"/>
          <w:color w:val="000000"/>
          <w:sz w:val="32"/>
          <w:lang w:eastAsia="zh-CN"/>
        </w:rPr>
        <w:t>加强生态环境、气象部门联合会商预报机制。严格落实《呼伦贝尔市重污染天气应急预案（2024年版）》，按照自治区要求更新减排清单，开展重点行业企业绩效分级。</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市生态环境局、</w:t>
      </w:r>
      <w:r>
        <w:rPr>
          <w:rFonts w:hint="eastAsia" w:ascii="楷体_GB2312" w:hAnsi="楷体_GB2312" w:eastAsia="楷体_GB2312" w:cs="楷体_GB2312"/>
          <w:color w:val="000000"/>
          <w:spacing w:val="-6"/>
          <w:sz w:val="32"/>
        </w:rPr>
        <w:t>气象局等按职责分工负责）</w:t>
      </w:r>
    </w:p>
    <w:p w14:paraId="4822A700">
      <w:pPr>
        <w:pageBreakBefore w:val="0"/>
        <w:widowControl w:val="0"/>
        <w:bidi w:val="0"/>
        <w:spacing w:line="600" w:lineRule="exact"/>
        <w:ind w:firstLine="632"/>
        <w:rPr>
          <w:rFonts w:hint="eastAsia" w:ascii="楷体_GB2312" w:hAnsi="楷体_GB2312" w:eastAsia="楷体_GB2312" w:cs="楷体_GB2312"/>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强化联防联控。</w:t>
      </w:r>
      <w:r>
        <w:rPr>
          <w:rFonts w:hint="eastAsia" w:ascii="Times New Roman" w:hAnsi="Times New Roman" w:eastAsia="仿宋_GB2312" w:cs="黑体"/>
          <w:color w:val="000000"/>
          <w:sz w:val="32"/>
        </w:rPr>
        <w:t>严格落实我市中心城区大气污染联防联控工作。空气质量未达标的</w:t>
      </w:r>
      <w:r>
        <w:rPr>
          <w:rFonts w:hint="eastAsia" w:ascii="Times New Roman" w:hAnsi="Times New Roman" w:eastAsia="仿宋_GB2312" w:cs="黑体"/>
          <w:color w:val="000000"/>
          <w:sz w:val="32"/>
          <w:lang w:eastAsia="zh-CN"/>
        </w:rPr>
        <w:t>旗市区</w:t>
      </w:r>
      <w:r>
        <w:rPr>
          <w:rFonts w:hint="eastAsia" w:ascii="Times New Roman" w:hAnsi="Times New Roman" w:eastAsia="仿宋_GB2312" w:cs="黑体"/>
          <w:color w:val="000000"/>
          <w:sz w:val="32"/>
        </w:rPr>
        <w:t>要编制实施大气环境质量限期达标规划，明确达标路线图及重点任务，并向社会公开。相邻</w:t>
      </w:r>
      <w:r>
        <w:rPr>
          <w:rFonts w:hint="eastAsia" w:ascii="Times New Roman" w:hAnsi="Times New Roman" w:eastAsia="仿宋_GB2312" w:cs="黑体"/>
          <w:color w:val="000000"/>
          <w:sz w:val="32"/>
          <w:lang w:eastAsia="zh-CN"/>
        </w:rPr>
        <w:t>旗市区</w:t>
      </w:r>
      <w:r>
        <w:rPr>
          <w:rFonts w:hint="eastAsia" w:ascii="Times New Roman" w:hAnsi="Times New Roman" w:eastAsia="仿宋_GB2312" w:cs="黑体"/>
          <w:color w:val="000000"/>
          <w:sz w:val="32"/>
        </w:rPr>
        <w:t>之间加强沟通协作，污染源在线监测、空气质量监测数据等信息全面共享</w:t>
      </w:r>
      <w:r>
        <w:rPr>
          <w:rFonts w:hint="eastAsia" w:ascii="Times New Roman" w:hAnsi="Times New Roman" w:eastAsia="仿宋_GB2312" w:cs="黑体"/>
          <w:color w:val="000000"/>
          <w:sz w:val="32"/>
          <w:lang w:eastAsia="zh-CN"/>
        </w:rPr>
        <w:t>，</w:t>
      </w:r>
      <w:r>
        <w:rPr>
          <w:rFonts w:hint="eastAsia" w:ascii="Times New Roman" w:hAnsi="Times New Roman" w:eastAsia="仿宋_GB2312" w:cs="黑体"/>
          <w:color w:val="000000"/>
          <w:sz w:val="32"/>
        </w:rPr>
        <w:t>开展联防联控和联合交叉执法。</w:t>
      </w:r>
      <w:r>
        <w:rPr>
          <w:rFonts w:hint="eastAsia" w:ascii="仿宋_GB2312" w:hAnsi="仿宋_GB2312" w:eastAsia="仿宋_GB2312" w:cs="仿宋_GB2312"/>
          <w:b w:val="0"/>
          <w:bCs w:val="0"/>
          <w:sz w:val="32"/>
          <w:szCs w:val="32"/>
          <w:u w:val="none"/>
          <w:lang w:val="en-US" w:eastAsia="zh-CN"/>
        </w:rPr>
        <w:t>推动额尔古纳市、根河市、鄂伦春旗、莫旗、扎兰屯市等相关旗市与大兴安岭地区漠河县、呼中区、松岭区、加格达奇区，黑河市嫩江县，齐齐哈尔市甘南县、碾子山区、龙江县等地区分别签订县级跨区域合作协议，全方位多层次深入开展生态环境保护合作，共同维护区域生态安全。</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市生态环境局等</w:t>
      </w:r>
      <w:r>
        <w:rPr>
          <w:rFonts w:hint="eastAsia" w:ascii="楷体_GB2312" w:hAnsi="楷体_GB2312" w:eastAsia="楷体_GB2312" w:cs="楷体_GB2312"/>
          <w:color w:val="000000"/>
          <w:sz w:val="32"/>
        </w:rPr>
        <w:t>按职责分工负责）</w:t>
      </w:r>
    </w:p>
    <w:p w14:paraId="1637E8DB">
      <w:pPr>
        <w:pageBreakBefore w:val="0"/>
        <w:widowControl w:val="0"/>
        <w:bidi w:val="0"/>
        <w:spacing w:line="600" w:lineRule="exact"/>
        <w:ind w:firstLine="632"/>
        <w:rPr>
          <w:rFonts w:ascii="Times New Roman" w:hAnsi="Times New Roman" w:eastAsia="黑体" w:cs="黑体"/>
          <w:color w:val="000000"/>
          <w:sz w:val="32"/>
        </w:rPr>
      </w:pPr>
      <w:r>
        <w:rPr>
          <w:rFonts w:hint="eastAsia" w:ascii="Times New Roman" w:hAnsi="Times New Roman" w:eastAsia="黑体" w:cs="黑体"/>
          <w:color w:val="000000"/>
          <w:sz w:val="32"/>
        </w:rPr>
        <w:t>八、强化执法监督能力建设</w:t>
      </w:r>
    </w:p>
    <w:p w14:paraId="657EEE17">
      <w:pPr>
        <w:pageBreakBefore w:val="0"/>
        <w:widowControl w:val="0"/>
        <w:bidi w:val="0"/>
        <w:spacing w:line="600" w:lineRule="exact"/>
        <w:ind w:firstLine="632"/>
        <w:rPr>
          <w:rFonts w:hint="eastAsia" w:ascii="楷体_GB2312" w:hAnsi="楷体_GB2312" w:eastAsia="楷体_GB2312" w:cs="楷体_GB2312"/>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一</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加强</w:t>
      </w:r>
      <w:r>
        <w:rPr>
          <w:rFonts w:hint="eastAsia" w:ascii="Times New Roman" w:hAnsi="Times New Roman" w:eastAsia="楷体_GB2312" w:cs="黑体"/>
          <w:b/>
          <w:color w:val="000000"/>
          <w:sz w:val="32"/>
        </w:rPr>
        <w:t>大气环境监管执法。</w:t>
      </w:r>
      <w:r>
        <w:rPr>
          <w:rFonts w:hint="eastAsia" w:ascii="仿宋_GB2312" w:hAnsi="仿宋_GB2312" w:eastAsia="仿宋_GB2312" w:cs="仿宋_GB2312"/>
          <w:color w:val="000000"/>
          <w:sz w:val="32"/>
          <w:lang w:eastAsia="zh-CN"/>
        </w:rPr>
        <w:t>严格落实</w:t>
      </w:r>
      <w:r>
        <w:rPr>
          <w:rFonts w:hint="eastAsia" w:ascii="仿宋_GB2312" w:hAnsi="仿宋_GB2312" w:eastAsia="仿宋_GB2312" w:cs="仿宋_GB2312"/>
          <w:color w:val="000000"/>
          <w:sz w:val="32"/>
          <w:lang w:val="zh-CN"/>
        </w:rPr>
        <w:t>“双</w:t>
      </w:r>
      <w:r>
        <w:rPr>
          <w:rFonts w:hint="eastAsia" w:ascii="仿宋_GB2312" w:hAnsi="仿宋_GB2312" w:eastAsia="仿宋_GB2312" w:cs="仿宋_GB2312"/>
          <w:color w:val="000000"/>
          <w:sz w:val="32"/>
        </w:rPr>
        <w:t>随机、一公开”监管制度，充分利用在线监测、电量监控、视频监控等技术手段，提升非现场监管能力。加强污染源自动监测设备运行监管，确保监测数据质量和稳定传输。加强重点领域、重点行业监督执法，开展专项执法、联合执法、交叉执法、明察暗访，加大无证排污、不按证排污等违法行为查处力度，严厉打击不正常运行大气污染防治设施、自动监测设备和数据造假等违法行为，对参与弄虚作假的排污单位和第三方机构、人员依法追究责任，涉嫌犯罪的依法移送司法机关。多措并举治理生态环境领域低价低质中标乱象，营造公平竞争环境。</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市生态环境局、公安局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市场监管局</w:t>
      </w:r>
      <w:r>
        <w:rPr>
          <w:rFonts w:hint="eastAsia" w:ascii="楷体_GB2312" w:hAnsi="楷体_GB2312" w:eastAsia="楷体_GB2312" w:cs="楷体_GB2312"/>
          <w:color w:val="000000"/>
          <w:sz w:val="32"/>
        </w:rPr>
        <w:t>等按职责分工负责）</w:t>
      </w:r>
    </w:p>
    <w:p w14:paraId="4957B5C5">
      <w:pPr>
        <w:pageBreakBefore w:val="0"/>
        <w:widowControl w:val="0"/>
        <w:bidi w:val="0"/>
        <w:spacing w:line="600" w:lineRule="exact"/>
        <w:ind w:firstLine="632"/>
        <w:rPr>
          <w:rFonts w:ascii="楷体_GB2312" w:hAnsi="楷体_GB2312" w:eastAsia="楷体_GB2312" w:cs="楷体_GB2312"/>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二</w:t>
      </w:r>
      <w:r>
        <w:rPr>
          <w:rFonts w:hint="eastAsia" w:ascii="Times New Roman" w:hAnsi="Times New Roman" w:eastAsia="楷体_GB2312" w:cs="黑体"/>
          <w:b/>
          <w:color w:val="000000"/>
          <w:sz w:val="32"/>
        </w:rPr>
        <w:t>）完善监测监控体系建设。</w:t>
      </w:r>
      <w:r>
        <w:rPr>
          <w:rFonts w:hint="eastAsia" w:ascii="Times New Roman" w:hAnsi="Times New Roman" w:eastAsia="仿宋_GB2312" w:cs="黑体"/>
          <w:color w:val="000000"/>
          <w:sz w:val="32"/>
          <w:lang w:eastAsia="zh-CN"/>
        </w:rPr>
        <w:t>优化调整和完善环境空气质量监测网络建设。加强工业和物流园区、铁路货场、机场、公路大气环境监测。加强沙源区及沙尘路径区气象、空气质量等监测网络一体化建设。定期更新大气环境重点排污单位名录，确保符合条件的企业全覆盖。推动企业安装工况监控、用电（用能）监控、视频监控等，并与生态环境部门联网。（</w:t>
      </w:r>
      <w:r>
        <w:rPr>
          <w:rFonts w:hint="eastAsia" w:ascii="楷体_GB2312" w:hAnsi="楷体_GB2312" w:eastAsia="楷体_GB2312" w:cs="楷体_GB2312"/>
          <w:color w:val="000000"/>
          <w:sz w:val="32"/>
          <w:lang w:eastAsia="zh-CN"/>
        </w:rPr>
        <w:t>市生态环境局、</w:t>
      </w:r>
      <w:r>
        <w:rPr>
          <w:rFonts w:hint="eastAsia" w:ascii="楷体_GB2312" w:hAnsi="楷体_GB2312" w:eastAsia="楷体_GB2312" w:cs="楷体_GB2312"/>
          <w:color w:val="000000"/>
          <w:sz w:val="32"/>
        </w:rPr>
        <w:t>交通运输</w:t>
      </w:r>
      <w:r>
        <w:rPr>
          <w:rFonts w:hint="eastAsia" w:ascii="楷体_GB2312" w:hAnsi="楷体_GB2312" w:eastAsia="楷体_GB2312" w:cs="楷体_GB2312"/>
          <w:color w:val="000000"/>
          <w:sz w:val="32"/>
          <w:lang w:eastAsia="zh-CN"/>
        </w:rPr>
        <w:t>局、林草局、</w:t>
      </w:r>
      <w:r>
        <w:rPr>
          <w:rFonts w:hint="eastAsia" w:ascii="楷体_GB2312" w:hAnsi="楷体_GB2312" w:eastAsia="楷体_GB2312" w:cs="楷体_GB2312"/>
          <w:color w:val="000000"/>
          <w:sz w:val="32"/>
        </w:rPr>
        <w:t>气象局等按职责分工负责</w:t>
      </w:r>
      <w:r>
        <w:rPr>
          <w:rFonts w:hint="eastAsia" w:ascii="楷体_GB2312" w:hAnsi="楷体_GB2312" w:eastAsia="楷体_GB2312" w:cs="楷体_GB2312"/>
          <w:color w:val="000000"/>
          <w:sz w:val="32"/>
          <w:lang w:eastAsia="zh-CN"/>
        </w:rPr>
        <w:t>）</w:t>
      </w:r>
    </w:p>
    <w:p w14:paraId="1613CD2E">
      <w:pPr>
        <w:pageBreakBefore w:val="0"/>
        <w:widowControl w:val="0"/>
        <w:bidi w:val="0"/>
        <w:spacing w:line="600" w:lineRule="exact"/>
        <w:ind w:firstLine="632"/>
        <w:rPr>
          <w:rFonts w:ascii="Times New Roman" w:hAnsi="Times New Roman" w:eastAsia="仿宋_GB2312" w:cs="黑体"/>
          <w:b/>
          <w:bCs/>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三</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提升</w:t>
      </w:r>
      <w:r>
        <w:rPr>
          <w:rFonts w:hint="eastAsia" w:ascii="Times New Roman" w:hAnsi="Times New Roman" w:eastAsia="楷体_GB2312" w:cs="黑体"/>
          <w:b/>
          <w:color w:val="000000"/>
          <w:sz w:val="32"/>
        </w:rPr>
        <w:t>科技支撑能力。</w:t>
      </w:r>
      <w:r>
        <w:rPr>
          <w:rFonts w:hint="eastAsia" w:ascii="Times New Roman" w:hAnsi="Times New Roman" w:eastAsia="仿宋_GB2312" w:cs="黑体"/>
          <w:color w:val="000000"/>
          <w:sz w:val="32"/>
        </w:rPr>
        <w:t>支持高等院校、科研院所和企业组建科技创新平台，开展大气污染防治等方面的研究。</w:t>
      </w:r>
      <w:r>
        <w:rPr>
          <w:rFonts w:hint="eastAsia" w:ascii="仿宋_GB2312" w:hAnsi="仿宋_GB2312" w:eastAsia="仿宋_GB2312" w:cs="仿宋_GB2312"/>
          <w:color w:val="000000"/>
          <w:sz w:val="32"/>
        </w:rPr>
        <w:t>2025年</w:t>
      </w:r>
      <w:r>
        <w:rPr>
          <w:rFonts w:hint="eastAsia" w:ascii="Times New Roman" w:hAnsi="Times New Roman" w:eastAsia="仿宋_GB2312" w:cs="黑体"/>
          <w:color w:val="000000"/>
          <w:sz w:val="32"/>
        </w:rPr>
        <w:t>底前，完成排放清单编制并动</w:t>
      </w:r>
      <w:r>
        <w:rPr>
          <w:rFonts w:hint="eastAsia" w:ascii="Times New Roman" w:hAnsi="Times New Roman" w:eastAsia="仿宋_GB2312" w:cs="黑体"/>
          <w:color w:val="000000"/>
          <w:spacing w:val="-6"/>
          <w:sz w:val="32"/>
        </w:rPr>
        <w:t>态更新。</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市生态环境局、科技局</w:t>
      </w:r>
      <w:r>
        <w:rPr>
          <w:rFonts w:hint="eastAsia" w:ascii="楷体_GB2312" w:hAnsi="楷体_GB2312" w:eastAsia="楷体_GB2312" w:cs="楷体_GB2312"/>
          <w:color w:val="000000"/>
          <w:spacing w:val="-6"/>
          <w:sz w:val="32"/>
        </w:rPr>
        <w:t>、气象局等按职责分工负责）</w:t>
      </w:r>
    </w:p>
    <w:p w14:paraId="3762FB88">
      <w:pPr>
        <w:keepNext/>
        <w:keepLines/>
        <w:pageBreakBefore w:val="0"/>
        <w:widowControl w:val="0"/>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rPr>
        <w:t>九、健全法规标准和经济政策</w:t>
      </w:r>
    </w:p>
    <w:p w14:paraId="271BC618">
      <w:pPr>
        <w:pageBreakBefore w:val="0"/>
        <w:widowControl w:val="0"/>
        <w:bidi w:val="0"/>
        <w:spacing w:line="600" w:lineRule="exact"/>
        <w:ind w:firstLine="632"/>
        <w:rPr>
          <w:rFonts w:ascii="Times New Roman" w:hAnsi="Times New Roman" w:eastAsia="仿宋_GB2312" w:cs="黑体"/>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四</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健全</w:t>
      </w:r>
      <w:r>
        <w:rPr>
          <w:rFonts w:hint="eastAsia" w:ascii="Times New Roman" w:hAnsi="Times New Roman" w:eastAsia="楷体_GB2312" w:cs="黑体"/>
          <w:b/>
          <w:color w:val="000000"/>
          <w:sz w:val="32"/>
        </w:rPr>
        <w:t>法规和标准体系。</w:t>
      </w:r>
      <w:r>
        <w:rPr>
          <w:rFonts w:hint="eastAsia" w:ascii="仿宋_GB2312" w:hAnsi="仿宋_GB2312" w:eastAsia="仿宋_GB2312" w:cs="仿宋_GB2312"/>
          <w:color w:val="000000"/>
          <w:sz w:val="32"/>
        </w:rPr>
        <w:t>积极宣传和落实《中华人民共和国环境保护法》《中华人民共和国大气污染防治法》《内蒙古自治区大气污染防治条例》《</w:t>
      </w:r>
      <w:r>
        <w:rPr>
          <w:rFonts w:hint="eastAsia" w:ascii="仿宋_GB2312" w:hAnsi="仿宋_GB2312" w:eastAsia="仿宋_GB2312" w:cs="仿宋_GB2312"/>
          <w:color w:val="000000"/>
          <w:sz w:val="32"/>
          <w:lang w:eastAsia="zh-CN"/>
        </w:rPr>
        <w:t>呼伦贝尔市</w:t>
      </w:r>
      <w:r>
        <w:rPr>
          <w:rFonts w:hint="eastAsia" w:ascii="仿宋_GB2312" w:hAnsi="仿宋_GB2312" w:eastAsia="仿宋_GB2312" w:cs="仿宋_GB2312"/>
          <w:color w:val="000000"/>
          <w:sz w:val="32"/>
        </w:rPr>
        <w:t>大气污染防治条例》等法律法规，用法律制度保护和改善我市大气环境质量。配合自治区做好《内蒙古自治区大气污染防治条例》修订工作。配合开展相关行业地方大气污染物排放标准和技术规范研究。配合自治区制定煤炭、聚氯乙烯（PVC）等行业绩效分级技术指南。</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市生态环境局、司法局</w:t>
      </w:r>
      <w:r>
        <w:rPr>
          <w:rFonts w:hint="eastAsia" w:ascii="楷体_GB2312" w:hAnsi="楷体_GB2312" w:eastAsia="楷体_GB2312" w:cs="楷体_GB2312"/>
          <w:color w:val="000000"/>
          <w:spacing w:val="-6"/>
          <w:sz w:val="32"/>
        </w:rPr>
        <w:t>、</w:t>
      </w:r>
      <w:r>
        <w:rPr>
          <w:rFonts w:hint="eastAsia" w:ascii="楷体_GB2312" w:hAnsi="楷体_GB2312" w:eastAsia="楷体_GB2312" w:cs="楷体_GB2312"/>
          <w:color w:val="000000"/>
          <w:spacing w:val="-6"/>
          <w:sz w:val="32"/>
          <w:lang w:eastAsia="zh-CN"/>
        </w:rPr>
        <w:t>市场监管局</w:t>
      </w:r>
      <w:r>
        <w:rPr>
          <w:rFonts w:hint="eastAsia" w:ascii="楷体_GB2312" w:hAnsi="楷体_GB2312" w:eastAsia="楷体_GB2312" w:cs="楷体_GB2312"/>
          <w:color w:val="000000"/>
          <w:spacing w:val="-6"/>
          <w:sz w:val="32"/>
        </w:rPr>
        <w:t>等按职责分工负责）</w:t>
      </w:r>
    </w:p>
    <w:p w14:paraId="0B85CC7E">
      <w:pPr>
        <w:pageBreakBefore w:val="0"/>
        <w:widowControl w:val="0"/>
        <w:bidi w:val="0"/>
        <w:spacing w:line="600" w:lineRule="exact"/>
        <w:ind w:firstLine="632"/>
        <w:rPr>
          <w:rFonts w:hint="eastAsia" w:ascii="Times New Roman" w:hAnsi="Times New Roman" w:eastAsia="仿宋_GB2312" w:cs="黑体"/>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五</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强化</w:t>
      </w:r>
      <w:r>
        <w:rPr>
          <w:rFonts w:hint="eastAsia" w:ascii="Times New Roman" w:hAnsi="Times New Roman" w:eastAsia="楷体_GB2312" w:cs="黑体"/>
          <w:b/>
          <w:color w:val="000000"/>
          <w:sz w:val="32"/>
        </w:rPr>
        <w:t>财政金融引导。</w:t>
      </w:r>
      <w:r>
        <w:rPr>
          <w:rFonts w:hint="eastAsia" w:ascii="仿宋_GB2312" w:hAnsi="仿宋_GB2312" w:eastAsia="仿宋_GB2312" w:cs="仿宋_GB2312"/>
          <w:color w:val="000000"/>
          <w:sz w:val="32"/>
        </w:rPr>
        <w:t>积极争取中央、自治区财政支持，推进清洁取暖改造，对减污降碳协同项目予以财政倾斜。</w:t>
      </w:r>
      <w:r>
        <w:rPr>
          <w:rFonts w:hint="eastAsia" w:ascii="仿宋_GB2312" w:hAnsi="仿宋_GB2312" w:eastAsia="仿宋_GB2312" w:cs="仿宋_GB2312"/>
          <w:color w:val="000000"/>
          <w:sz w:val="32"/>
          <w:lang w:eastAsia="zh-CN"/>
        </w:rPr>
        <w:t>对</w:t>
      </w:r>
      <w:r>
        <w:rPr>
          <w:rFonts w:hint="eastAsia" w:ascii="仿宋_GB2312" w:hAnsi="仿宋_GB2312" w:eastAsia="仿宋_GB2312" w:cs="仿宋_GB2312"/>
          <w:color w:val="000000"/>
          <w:sz w:val="32"/>
        </w:rPr>
        <w:t>传统产业升级、工业污染治理等领域</w:t>
      </w:r>
      <w:r>
        <w:rPr>
          <w:rFonts w:hint="eastAsia" w:ascii="仿宋_GB2312" w:hAnsi="仿宋_GB2312" w:eastAsia="仿宋_GB2312" w:cs="仿宋_GB2312"/>
          <w:color w:val="000000"/>
          <w:sz w:val="32"/>
          <w:lang w:eastAsia="zh-CN"/>
        </w:rPr>
        <w:t>和</w:t>
      </w:r>
      <w:r>
        <w:rPr>
          <w:rFonts w:hint="eastAsia" w:ascii="仿宋_GB2312" w:hAnsi="仿宋_GB2312" w:eastAsia="仿宋_GB2312" w:cs="仿宋_GB2312"/>
          <w:color w:val="000000"/>
          <w:sz w:val="32"/>
        </w:rPr>
        <w:t>行业绩效分级领先的企业</w:t>
      </w:r>
      <w:r>
        <w:rPr>
          <w:rFonts w:hint="eastAsia" w:ascii="仿宋_GB2312" w:hAnsi="仿宋_GB2312" w:eastAsia="仿宋_GB2312" w:cs="仿宋_GB2312"/>
          <w:color w:val="000000"/>
          <w:sz w:val="32"/>
          <w:lang w:eastAsia="zh-CN"/>
        </w:rPr>
        <w:t>，按照市场化方式加大</w:t>
      </w:r>
      <w:r>
        <w:rPr>
          <w:rFonts w:hint="eastAsia" w:ascii="仿宋_GB2312" w:hAnsi="仿宋_GB2312" w:eastAsia="仿宋_GB2312" w:cs="仿宋_GB2312"/>
          <w:color w:val="000000"/>
          <w:sz w:val="32"/>
        </w:rPr>
        <w:t>信贷融资支持力度，引导社会资本投入。</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市财政局、住建局、生态环境局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交通运输局、能源局、国家金融监督管理总局呼伦贝尔监管分局</w:t>
      </w:r>
      <w:r>
        <w:rPr>
          <w:rFonts w:hint="eastAsia" w:ascii="楷体_GB2312" w:hAnsi="楷体_GB2312" w:eastAsia="楷体_GB2312" w:cs="楷体_GB2312"/>
          <w:color w:val="000000"/>
          <w:sz w:val="32"/>
        </w:rPr>
        <w:t>等按职责分工负责</w:t>
      </w:r>
      <w:r>
        <w:rPr>
          <w:rFonts w:hint="eastAsia" w:ascii="Times New Roman" w:hAnsi="Times New Roman" w:eastAsia="仿宋_GB2312" w:cs="黑体"/>
          <w:color w:val="000000"/>
          <w:sz w:val="32"/>
        </w:rPr>
        <w:t>）</w:t>
      </w:r>
    </w:p>
    <w:p w14:paraId="091998C4">
      <w:pPr>
        <w:pageBreakBefore w:val="0"/>
        <w:widowControl w:val="0"/>
        <w:bidi w:val="0"/>
        <w:spacing w:line="600" w:lineRule="exact"/>
        <w:ind w:firstLine="632"/>
        <w:rPr>
          <w:rFonts w:ascii="Times New Roman" w:hAnsi="Times New Roman" w:eastAsia="黑体" w:cs="黑体"/>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六</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实施</w:t>
      </w:r>
      <w:r>
        <w:rPr>
          <w:rFonts w:hint="eastAsia" w:ascii="Times New Roman" w:hAnsi="Times New Roman" w:eastAsia="楷体_GB2312" w:cs="黑体"/>
          <w:b/>
          <w:color w:val="000000"/>
          <w:sz w:val="32"/>
        </w:rPr>
        <w:t>价格激励约束机制。</w:t>
      </w:r>
      <w:r>
        <w:rPr>
          <w:rFonts w:hint="eastAsia" w:ascii="仿宋_GB2312" w:hAnsi="仿宋_GB2312" w:eastAsia="仿宋_GB2312" w:cs="仿宋_GB2312"/>
          <w:color w:val="000000"/>
          <w:sz w:val="32"/>
          <w:lang w:eastAsia="zh-CN"/>
        </w:rPr>
        <w:t>持续</w:t>
      </w:r>
      <w:r>
        <w:rPr>
          <w:rFonts w:hint="eastAsia" w:ascii="仿宋_GB2312" w:hAnsi="仿宋_GB2312" w:eastAsia="仿宋_GB2312" w:cs="仿宋_GB2312"/>
          <w:color w:val="000000"/>
          <w:sz w:val="32"/>
        </w:rPr>
        <w:t>加大大气污染防治资金支持力度，重点用于散煤污染治理、挥发性有机物污染治理、工业污染源深度治理、机动车污染治理等领域。严格落实国家、自治区峰谷分时电价、差别化电价、所得税抵免等各项价格税费激励约束政策措施。减少燃气输配气层级，合理制定并严格监管输配气价格，完善终端销售价格与采购价格联动机制。</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市发改委、住建局</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生态环境局、交通运输局</w:t>
      </w:r>
      <w:r>
        <w:rPr>
          <w:rFonts w:hint="eastAsia" w:ascii="楷体_GB2312" w:hAnsi="楷体_GB2312" w:eastAsia="楷体_GB2312" w:cs="楷体_GB2312"/>
          <w:color w:val="000000"/>
          <w:sz w:val="32"/>
        </w:rPr>
        <w:t>等按职责分工负责）</w:t>
      </w:r>
      <w:r>
        <w:rPr>
          <w:rFonts w:hint="eastAsia" w:ascii="Times New Roman" w:hAnsi="Times New Roman" w:eastAsia="仿宋_GB2312" w:cs="黑体"/>
          <w:color w:val="000000"/>
          <w:sz w:val="32"/>
        </w:rPr>
        <w:t>。</w:t>
      </w:r>
    </w:p>
    <w:p w14:paraId="445F6730">
      <w:pPr>
        <w:keepNext/>
        <w:keepLines/>
        <w:pageBreakBefore w:val="0"/>
        <w:widowControl w:val="0"/>
        <w:numPr>
          <w:ilvl w:val="0"/>
          <w:numId w:val="1"/>
        </w:numPr>
        <w:bidi w:val="0"/>
        <w:spacing w:line="600" w:lineRule="exact"/>
        <w:ind w:firstLine="632"/>
        <w:outlineLvl w:val="0"/>
        <w:rPr>
          <w:rFonts w:ascii="Times New Roman" w:hAnsi="Times New Roman" w:eastAsia="黑体" w:cs="黑体"/>
          <w:color w:val="000000"/>
          <w:sz w:val="32"/>
        </w:rPr>
      </w:pPr>
      <w:r>
        <w:rPr>
          <w:rFonts w:hint="eastAsia" w:ascii="Times New Roman" w:hAnsi="Times New Roman" w:eastAsia="黑体" w:cs="黑体"/>
          <w:color w:val="000000"/>
          <w:sz w:val="32"/>
          <w:lang w:eastAsia="zh-CN"/>
        </w:rPr>
        <w:t>积极推动公众参与</w:t>
      </w:r>
    </w:p>
    <w:p w14:paraId="6A01537B">
      <w:pPr>
        <w:pageBreakBefore w:val="0"/>
        <w:widowControl w:val="0"/>
        <w:bidi w:val="0"/>
        <w:spacing w:line="600" w:lineRule="exact"/>
        <w:ind w:firstLine="632"/>
        <w:rPr>
          <w:rFonts w:ascii="楷体_GB2312" w:hAnsi="楷体_GB2312" w:eastAsia="楷体_GB2312" w:cs="楷体_GB2312"/>
          <w:color w:val="000000"/>
          <w:sz w:val="32"/>
        </w:rPr>
      </w:pPr>
      <w:r>
        <w:rPr>
          <w:rFonts w:hint="eastAsia" w:ascii="Times New Roman" w:hAnsi="Times New Roman" w:eastAsia="楷体_GB2312" w:cs="黑体"/>
          <w:b/>
          <w:color w:val="000000"/>
          <w:sz w:val="32"/>
        </w:rPr>
        <w:t>（二十</w:t>
      </w:r>
      <w:r>
        <w:rPr>
          <w:rFonts w:hint="eastAsia" w:ascii="Times New Roman" w:hAnsi="Times New Roman" w:eastAsia="楷体_GB2312" w:cs="黑体"/>
          <w:b/>
          <w:color w:val="000000"/>
          <w:sz w:val="32"/>
          <w:lang w:eastAsia="zh-CN"/>
        </w:rPr>
        <w:t>七</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完善</w:t>
      </w:r>
      <w:r>
        <w:rPr>
          <w:rFonts w:hint="eastAsia" w:ascii="Times New Roman" w:hAnsi="Times New Roman" w:eastAsia="楷体_GB2312" w:cs="黑体"/>
          <w:b/>
          <w:color w:val="000000"/>
          <w:sz w:val="32"/>
        </w:rPr>
        <w:t>信息公开。</w:t>
      </w:r>
      <w:r>
        <w:rPr>
          <w:rFonts w:hint="eastAsia" w:ascii="Times New Roman" w:hAnsi="Times New Roman" w:eastAsia="仿宋_GB2312" w:cs="黑体"/>
          <w:color w:val="000000"/>
          <w:sz w:val="32"/>
          <w:lang w:eastAsia="zh-CN"/>
        </w:rPr>
        <w:t>把信息公开作为推动大气污染防治工作的重要抓手，深入落实环保信息强制公开制度。加大环境空气质量信息公开力度，做好空气质量预报信息发布。将存在弄虚作假行为的排污单位和第三方治理、运维、检测机构依法依规列入信用记录，并定期向社会公布。依法披露企业环境信息，已核发排污许可证的排污单位按要求公开污染物排放信息。重点排污单位及时公布自行监测数据、污染排放数据、污染治理措施、环保违法处罚及整改等信息。</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市生态环境局、发改委</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市场监管局</w:t>
      </w:r>
      <w:r>
        <w:rPr>
          <w:rFonts w:hint="eastAsia" w:ascii="楷体_GB2312" w:hAnsi="楷体_GB2312" w:eastAsia="楷体_GB2312" w:cs="楷体_GB2312"/>
          <w:color w:val="000000"/>
          <w:sz w:val="32"/>
        </w:rPr>
        <w:t>等按职责分工负责）</w:t>
      </w:r>
    </w:p>
    <w:p w14:paraId="2D1D935F">
      <w:pPr>
        <w:pageBreakBefore w:val="0"/>
        <w:widowControl w:val="0"/>
        <w:bidi w:val="0"/>
        <w:spacing w:line="600" w:lineRule="exact"/>
        <w:ind w:firstLine="632"/>
        <w:rPr>
          <w:rFonts w:hint="eastAsia" w:ascii="楷体_GB2312" w:hAnsi="楷体_GB2312" w:eastAsia="楷体_GB2312" w:cs="楷体_GB2312"/>
          <w:color w:val="000000"/>
          <w:sz w:val="32"/>
        </w:rPr>
      </w:pP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二十八</w:t>
      </w:r>
      <w:r>
        <w:rPr>
          <w:rFonts w:hint="eastAsia" w:ascii="Times New Roman" w:hAnsi="Times New Roman" w:eastAsia="楷体_GB2312" w:cs="黑体"/>
          <w:b/>
          <w:color w:val="000000"/>
          <w:sz w:val="32"/>
        </w:rPr>
        <w:t>）</w:t>
      </w:r>
      <w:r>
        <w:rPr>
          <w:rFonts w:hint="eastAsia" w:ascii="Times New Roman" w:hAnsi="Times New Roman" w:eastAsia="楷体_GB2312" w:cs="黑体"/>
          <w:b/>
          <w:color w:val="000000"/>
          <w:sz w:val="32"/>
          <w:lang w:eastAsia="zh-CN"/>
        </w:rPr>
        <w:t>推动</w:t>
      </w:r>
      <w:r>
        <w:rPr>
          <w:rFonts w:hint="eastAsia" w:ascii="Times New Roman" w:hAnsi="Times New Roman" w:eastAsia="楷体_GB2312" w:cs="黑体"/>
          <w:b/>
          <w:color w:val="000000"/>
          <w:sz w:val="32"/>
        </w:rPr>
        <w:t>全民行动。</w:t>
      </w:r>
      <w:r>
        <w:rPr>
          <w:rFonts w:hint="eastAsia" w:ascii="Times New Roman" w:hAnsi="Times New Roman" w:eastAsia="仿宋_GB2312" w:cs="黑体"/>
          <w:color w:val="000000"/>
          <w:sz w:val="32"/>
        </w:rPr>
        <w:t>利用传统媒体和新媒体手段，在世界环境日、全国低碳日、生态日等宣传活动中广泛宣传解读大气污染防治相关政策，大力普及大气环境与健康的基本理念和知识，提升公民大气环境保护意识与健康素养，引导公众做好重污染天气期间的健康防护。</w:t>
      </w:r>
      <w:r>
        <w:rPr>
          <w:rFonts w:hint="eastAsia" w:ascii="Times New Roman" w:hAnsi="Times New Roman" w:eastAsia="仿宋_GB2312" w:cs="黑体"/>
          <w:color w:val="000000"/>
          <w:sz w:val="32"/>
          <w:lang w:eastAsia="zh-CN"/>
        </w:rPr>
        <w:t>国有</w:t>
      </w:r>
      <w:r>
        <w:rPr>
          <w:rFonts w:hint="eastAsia" w:ascii="Times New Roman" w:hAnsi="Times New Roman" w:eastAsia="仿宋_GB2312" w:cs="黑体"/>
          <w:color w:val="000000"/>
          <w:sz w:val="32"/>
        </w:rPr>
        <w:t>企业带头深入推进治污减排，优化工艺流程，践行绿色低碳发展。动员社会各方力量，共治共享，倡导简约适度、绿色低碳、文明健康的生活方式，鼓励公众选择绿色出行方式，不断提升公民环境保护意识，不断完善公众参与和监督举报渠道，广泛参与大气污染防治行动。</w:t>
      </w:r>
      <w:r>
        <w:rPr>
          <w:rFonts w:hint="eastAsia" w:ascii="楷体_GB2312" w:hAnsi="楷体_GB2312" w:eastAsia="楷体_GB2312" w:cs="楷体_GB2312"/>
          <w:color w:val="000000"/>
          <w:sz w:val="32"/>
        </w:rPr>
        <w:t>（</w:t>
      </w:r>
      <w:r>
        <w:rPr>
          <w:rFonts w:hint="eastAsia" w:ascii="楷体_GB2312" w:hAnsi="楷体_GB2312" w:eastAsia="楷体_GB2312" w:cs="楷体_GB2312"/>
          <w:color w:val="000000"/>
          <w:sz w:val="32"/>
          <w:lang w:eastAsia="zh-CN"/>
        </w:rPr>
        <w:t>市生态环境局、</w:t>
      </w:r>
      <w:r>
        <w:rPr>
          <w:rFonts w:hint="eastAsia" w:ascii="楷体_GB2312" w:hAnsi="楷体_GB2312" w:eastAsia="楷体_GB2312" w:cs="楷体_GB2312"/>
          <w:color w:val="000000"/>
          <w:sz w:val="32"/>
        </w:rPr>
        <w:t>各有关部门按职责分工负责）</w:t>
      </w:r>
    </w:p>
    <w:sectPr>
      <w:headerReference r:id="rId3" w:type="default"/>
      <w:footerReference r:id="rId5" w:type="default"/>
      <w:headerReference r:id="rId4" w:type="even"/>
      <w:footerReference r:id="rId6" w:type="even"/>
      <w:pgSz w:w="11906" w:h="16838"/>
      <w:pgMar w:top="2098" w:right="1531" w:bottom="1984" w:left="1531" w:header="851" w:footer="1588" w:gutter="0"/>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7C9E6">
    <w:pPr>
      <w:pStyle w:val="200"/>
      <w:jc w:val="right"/>
      <w:rPr>
        <w:rFonts w:ascii="宋体" w:hAnsi="宋体" w:eastAsia="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307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2EBD4D">
                          <w:pPr>
                            <w:pStyle w:val="200"/>
                            <w:jc w:val="right"/>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3 -</w:t>
                          </w:r>
                          <w:r>
                            <w:rPr>
                              <w:rFonts w:ascii="宋体" w:hAnsi="宋体" w:eastAsia="宋体"/>
                              <w:sz w:val="28"/>
                              <w:szCs w:val="28"/>
                            </w:rPr>
                            <w:fldChar w:fldCharType="end"/>
                          </w:r>
                        </w:p>
                      </w:txbxContent>
                    </wps:txbx>
                    <wps:bodyPr wrap="none" lIns="0" tIns="0" rIns="0" bIns="0" upright="1">
                      <a:spAutoFit/>
                    </wps:bodyPr>
                  </wps:wsp>
                </a:graphicData>
              </a:graphic>
            </wp:anchor>
          </w:drawing>
        </mc:Choice>
        <mc:Fallback>
          <w:pict>
            <v:shape id="_x0000_s307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rCJpwxgEAAKgDAAAOAAAAAAAAAAEAIAAAAB4BAABkcnMvZTJvRG9jLnht&#10;bFBLBQYAAAAABgAGAFkBAABWBQAAAAA=&#10;">
              <v:fill on="f" focussize="0,0"/>
              <v:stroke on="f"/>
              <v:imagedata o:title=""/>
              <o:lock v:ext="edit" aspectratio="f"/>
              <v:textbox inset="0mm,0mm,0mm,0mm" style="mso-fit-shape-to-text:t;">
                <w:txbxContent>
                  <w:p w14:paraId="4F2EBD4D">
                    <w:pPr>
                      <w:pStyle w:val="200"/>
                      <w:jc w:val="right"/>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3 -</w:t>
                    </w:r>
                    <w:r>
                      <w:rPr>
                        <w:rFonts w:ascii="宋体" w:hAnsi="宋体" w:eastAsia="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96606">
    <w:pPr>
      <w:pStyle w:val="200"/>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307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E92888D">
                          <w:pPr>
                            <w:pStyle w:val="200"/>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2 -</w:t>
                          </w:r>
                          <w:r>
                            <w:rPr>
                              <w:rFonts w:ascii="宋体" w:hAnsi="宋体" w:eastAsia="宋体"/>
                              <w:sz w:val="28"/>
                              <w:szCs w:val="28"/>
                            </w:rPr>
                            <w:fldChar w:fldCharType="end"/>
                          </w:r>
                        </w:p>
                      </w:txbxContent>
                    </wps:txbx>
                    <wps:bodyPr wrap="none" lIns="0" tIns="0" rIns="0" bIns="0" upright="1">
                      <a:spAutoFit/>
                    </wps:bodyPr>
                  </wps:wsp>
                </a:graphicData>
              </a:graphic>
            </wp:anchor>
          </w:drawing>
        </mc:Choice>
        <mc:Fallback>
          <w:pict>
            <v:shape id="_x0000_s307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XIl6rIAQAAqAMAAA4AAAAAAAAAAQAgAAAAHgEAAGRycy9lMm9Eb2Mu&#10;eG1sUEsFBgAAAAAGAAYAWQEAAFgFAAAAAA==&#10;">
              <v:fill on="f" focussize="0,0"/>
              <v:stroke on="f"/>
              <v:imagedata o:title=""/>
              <o:lock v:ext="edit" aspectratio="f"/>
              <v:textbox inset="0mm,0mm,0mm,0mm" style="mso-fit-shape-to-text:t;">
                <w:txbxContent>
                  <w:p w14:paraId="1E92888D">
                    <w:pPr>
                      <w:pStyle w:val="200"/>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2 -</w:t>
                    </w:r>
                    <w:r>
                      <w:rPr>
                        <w:rFonts w:ascii="宋体" w:hAnsi="宋体" w:eastAsia="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BCDC1">
    <w:pPr>
      <w:pStyle w:val="202"/>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7F67A">
    <w:pPr>
      <w:pStyle w:val="20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0"/>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evenAndOddHeaders w:val="1"/>
  <w:characterSpacingControl w:val="doNotCompress"/>
  <w:compat>
    <w:balanceSingleByteDoubleByteWidth/>
    <w:ulTrailSpace/>
    <w:doNotExpandShiftReturn/>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lMzQ3N2FhMzgxYzU3ZDdiZTY1YzA5NzY2MzZlZGYifQ=="/>
  </w:docVars>
  <w:rsids>
    <w:rsidRoot w:val="00000000"/>
    <w:rsid w:val="377F35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0"/>
    <w:qFormat/>
    <w:uiPriority w:val="0"/>
    <w:pPr>
      <w:widowControl w:val="0"/>
      <w:jc w:val="both"/>
    </w:pPr>
    <w:rPr>
      <w:rFonts w:hint="default" w:ascii="仿宋_GB2312" w:hAnsi="仿宋_GB2312" w:eastAsia="仿宋_GB2312" w:cs="Times New Roman"/>
      <w:sz w:val="32"/>
      <w:szCs w:val="24"/>
      <w:lang w:val="en-US" w:eastAsia="zh-CN" w:bidi="ar-SA"/>
    </w:rPr>
  </w:style>
  <w:style w:type="paragraph" w:styleId="2">
    <w:name w:val="heading 1"/>
    <w:basedOn w:val="1"/>
    <w:next w:val="1"/>
    <w:link w:val="162"/>
    <w:qFormat/>
    <w:uiPriority w:val="9"/>
    <w:pPr>
      <w:keepNext/>
      <w:keepLines/>
      <w:spacing w:before="360" w:after="80"/>
      <w:outlineLvl w:val="0"/>
    </w:pPr>
    <w:rPr>
      <w:rFonts w:ascii="Arial" w:hAnsi="Arial" w:eastAsia="Arial" w:cs="Arial"/>
      <w:color w:val="366091" w:themeColor="accent1" w:themeShade="BF"/>
      <w:sz w:val="40"/>
      <w:szCs w:val="40"/>
    </w:rPr>
  </w:style>
  <w:style w:type="paragraph" w:styleId="3">
    <w:name w:val="heading 2"/>
    <w:basedOn w:val="1"/>
    <w:next w:val="1"/>
    <w:link w:val="163"/>
    <w:unhideWhenUsed/>
    <w:qFormat/>
    <w:uiPriority w:val="9"/>
    <w:pPr>
      <w:keepNext/>
      <w:keepLines/>
      <w:spacing w:before="160" w:after="80"/>
      <w:outlineLvl w:val="1"/>
    </w:pPr>
    <w:rPr>
      <w:rFonts w:ascii="Arial" w:hAnsi="Arial" w:eastAsia="Arial" w:cs="Arial"/>
      <w:color w:val="366091" w:themeColor="accent1" w:themeShade="BF"/>
      <w:sz w:val="32"/>
      <w:szCs w:val="32"/>
    </w:rPr>
  </w:style>
  <w:style w:type="paragraph" w:styleId="4">
    <w:name w:val="heading 3"/>
    <w:basedOn w:val="1"/>
    <w:next w:val="1"/>
    <w:link w:val="164"/>
    <w:unhideWhenUsed/>
    <w:qFormat/>
    <w:uiPriority w:val="9"/>
    <w:pPr>
      <w:keepNext/>
      <w:keepLines/>
      <w:spacing w:before="160" w:after="80"/>
      <w:outlineLvl w:val="2"/>
    </w:pPr>
    <w:rPr>
      <w:rFonts w:ascii="Arial" w:hAnsi="Arial" w:eastAsia="Arial" w:cs="Arial"/>
      <w:color w:val="366091" w:themeColor="accent1" w:themeShade="BF"/>
      <w:sz w:val="28"/>
      <w:szCs w:val="28"/>
    </w:rPr>
  </w:style>
  <w:style w:type="paragraph" w:styleId="5">
    <w:name w:val="heading 4"/>
    <w:basedOn w:val="1"/>
    <w:next w:val="1"/>
    <w:link w:val="165"/>
    <w:unhideWhenUsed/>
    <w:qFormat/>
    <w:uiPriority w:val="9"/>
    <w:pPr>
      <w:keepNext/>
      <w:keepLines/>
      <w:spacing w:before="80" w:after="40"/>
      <w:outlineLvl w:val="3"/>
    </w:pPr>
    <w:rPr>
      <w:rFonts w:ascii="Arial" w:hAnsi="Arial" w:eastAsia="Arial" w:cs="Arial"/>
      <w:i/>
      <w:iCs/>
      <w:color w:val="366091" w:themeColor="accent1" w:themeShade="BF"/>
    </w:rPr>
  </w:style>
  <w:style w:type="paragraph" w:styleId="6">
    <w:name w:val="heading 5"/>
    <w:basedOn w:val="1"/>
    <w:next w:val="1"/>
    <w:link w:val="166"/>
    <w:unhideWhenUsed/>
    <w:qFormat/>
    <w:uiPriority w:val="9"/>
    <w:pPr>
      <w:keepNext/>
      <w:keepLines/>
      <w:spacing w:before="80" w:after="40"/>
      <w:outlineLvl w:val="4"/>
    </w:pPr>
    <w:rPr>
      <w:rFonts w:ascii="Arial" w:hAnsi="Arial" w:eastAsia="Arial" w:cs="Arial"/>
      <w:color w:val="366091" w:themeColor="accent1" w:themeShade="BF"/>
    </w:rPr>
  </w:style>
  <w:style w:type="paragraph" w:styleId="7">
    <w:name w:val="heading 6"/>
    <w:basedOn w:val="1"/>
    <w:next w:val="1"/>
    <w:link w:val="167"/>
    <w:unhideWhenUsed/>
    <w:qFormat/>
    <w:uiPriority w:val="9"/>
    <w:pPr>
      <w:keepNext/>
      <w:keepLines/>
      <w:spacing w:before="40" w:after="0"/>
      <w:outlineLvl w:val="5"/>
    </w:pPr>
    <w:rPr>
      <w:rFonts w:ascii="Arial" w:hAnsi="Arial" w:eastAsia="Arial" w:cs="Arial"/>
      <w:i/>
      <w:iCs/>
      <w:color w:val="585858" w:themeColor="text1" w:themeTint="A6"/>
    </w:rPr>
  </w:style>
  <w:style w:type="paragraph" w:styleId="8">
    <w:name w:val="heading 7"/>
    <w:basedOn w:val="1"/>
    <w:next w:val="1"/>
    <w:link w:val="168"/>
    <w:unhideWhenUsed/>
    <w:qFormat/>
    <w:uiPriority w:val="9"/>
    <w:pPr>
      <w:keepNext/>
      <w:keepLines/>
      <w:spacing w:before="40" w:after="0"/>
      <w:outlineLvl w:val="6"/>
    </w:pPr>
    <w:rPr>
      <w:rFonts w:ascii="Arial" w:hAnsi="Arial" w:eastAsia="Arial" w:cs="Arial"/>
      <w:color w:val="585858" w:themeColor="text1" w:themeTint="A6"/>
    </w:rPr>
  </w:style>
  <w:style w:type="paragraph" w:styleId="9">
    <w:name w:val="heading 8"/>
    <w:basedOn w:val="1"/>
    <w:next w:val="1"/>
    <w:link w:val="169"/>
    <w:unhideWhenUsed/>
    <w:qFormat/>
    <w:uiPriority w:val="9"/>
    <w:pPr>
      <w:keepNext/>
      <w:keepLines/>
      <w:spacing w:after="0"/>
      <w:outlineLvl w:val="7"/>
    </w:pPr>
    <w:rPr>
      <w:rFonts w:ascii="Arial" w:hAnsi="Arial" w:eastAsia="Arial" w:cs="Arial"/>
      <w:i/>
      <w:iCs/>
      <w:color w:val="262626" w:themeColor="text1" w:themeTint="D8"/>
    </w:rPr>
  </w:style>
  <w:style w:type="paragraph" w:styleId="10">
    <w:name w:val="heading 9"/>
    <w:basedOn w:val="1"/>
    <w:next w:val="1"/>
    <w:link w:val="170"/>
    <w:unhideWhenUsed/>
    <w:qFormat/>
    <w:uiPriority w:val="9"/>
    <w:pPr>
      <w:keepNext/>
      <w:keepLines/>
      <w:spacing w:after="0"/>
      <w:outlineLvl w:val="8"/>
    </w:pPr>
    <w:rPr>
      <w:rFonts w:ascii="Arial" w:hAnsi="Arial" w:eastAsia="Arial" w:cs="Arial"/>
      <w:i/>
      <w:iCs/>
      <w:color w:val="262626" w:themeColor="text1" w:themeTint="D8"/>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styleId="11">
    <w:name w:val="toc 7"/>
    <w:basedOn w:val="1"/>
    <w:next w:val="1"/>
    <w:unhideWhenUsed/>
    <w:qFormat/>
    <w:uiPriority w:val="39"/>
    <w:pPr>
      <w:spacing w:after="100"/>
      <w:ind w:left="1320"/>
    </w:pPr>
  </w:style>
  <w:style w:type="paragraph" w:styleId="12">
    <w:name w:val="caption"/>
    <w:basedOn w:val="1"/>
    <w:next w:val="1"/>
    <w:unhideWhenUsed/>
    <w:qFormat/>
    <w:uiPriority w:val="35"/>
    <w:pPr>
      <w:spacing w:after="200" w:line="240" w:lineRule="auto"/>
    </w:pPr>
    <w:rPr>
      <w:i/>
      <w:iCs/>
      <w:color w:val="1F497D" w:themeColor="text2"/>
      <w:sz w:val="18"/>
      <w:szCs w:val="18"/>
    </w:rPr>
  </w:style>
  <w:style w:type="paragraph" w:styleId="13">
    <w:name w:val="toc 5"/>
    <w:basedOn w:val="1"/>
    <w:next w:val="1"/>
    <w:unhideWhenUsed/>
    <w:uiPriority w:val="39"/>
    <w:pPr>
      <w:spacing w:after="100"/>
      <w:ind w:left="880"/>
    </w:pPr>
  </w:style>
  <w:style w:type="paragraph" w:styleId="14">
    <w:name w:val="toc 3"/>
    <w:basedOn w:val="1"/>
    <w:next w:val="1"/>
    <w:unhideWhenUsed/>
    <w:qFormat/>
    <w:uiPriority w:val="39"/>
    <w:pPr>
      <w:spacing w:after="100"/>
      <w:ind w:left="440"/>
    </w:pPr>
  </w:style>
  <w:style w:type="paragraph" w:styleId="15">
    <w:name w:val="toc 8"/>
    <w:basedOn w:val="1"/>
    <w:next w:val="1"/>
    <w:unhideWhenUsed/>
    <w:uiPriority w:val="39"/>
    <w:pPr>
      <w:spacing w:after="100"/>
      <w:ind w:left="1540"/>
    </w:pPr>
  </w:style>
  <w:style w:type="paragraph" w:styleId="16">
    <w:name w:val="endnote text"/>
    <w:basedOn w:val="1"/>
    <w:link w:val="187"/>
    <w:semiHidden/>
    <w:unhideWhenUsed/>
    <w:qFormat/>
    <w:uiPriority w:val="99"/>
    <w:pPr>
      <w:spacing w:after="0" w:line="240" w:lineRule="auto"/>
    </w:pPr>
    <w:rPr>
      <w:sz w:val="20"/>
      <w:szCs w:val="20"/>
    </w:rPr>
  </w:style>
  <w:style w:type="paragraph" w:styleId="17">
    <w:name w:val="footer"/>
    <w:basedOn w:val="1"/>
    <w:link w:val="185"/>
    <w:unhideWhenUsed/>
    <w:qFormat/>
    <w:uiPriority w:val="99"/>
    <w:pPr>
      <w:tabs>
        <w:tab w:val="center" w:pos="4844"/>
        <w:tab w:val="right" w:pos="9689"/>
      </w:tabs>
      <w:spacing w:after="0" w:line="240" w:lineRule="auto"/>
    </w:pPr>
  </w:style>
  <w:style w:type="paragraph" w:styleId="18">
    <w:name w:val="header"/>
    <w:basedOn w:val="1"/>
    <w:link w:val="184"/>
    <w:unhideWhenUsed/>
    <w:qFormat/>
    <w:uiPriority w:val="99"/>
    <w:pPr>
      <w:tabs>
        <w:tab w:val="center" w:pos="4844"/>
        <w:tab w:val="right" w:pos="9689"/>
      </w:tabs>
      <w:spacing w:after="0" w:line="240" w:lineRule="auto"/>
    </w:pPr>
  </w:style>
  <w:style w:type="paragraph" w:styleId="19">
    <w:name w:val="toc 1"/>
    <w:basedOn w:val="1"/>
    <w:next w:val="1"/>
    <w:unhideWhenUsed/>
    <w:qFormat/>
    <w:uiPriority w:val="39"/>
    <w:pPr>
      <w:spacing w:after="100"/>
    </w:pPr>
  </w:style>
  <w:style w:type="paragraph" w:styleId="20">
    <w:name w:val="toc 4"/>
    <w:basedOn w:val="1"/>
    <w:next w:val="1"/>
    <w:unhideWhenUsed/>
    <w:qFormat/>
    <w:uiPriority w:val="39"/>
    <w:pPr>
      <w:spacing w:after="100"/>
      <w:ind w:left="660"/>
    </w:pPr>
  </w:style>
  <w:style w:type="paragraph" w:styleId="21">
    <w:name w:val="Subtitle"/>
    <w:basedOn w:val="1"/>
    <w:next w:val="1"/>
    <w:link w:val="172"/>
    <w:qFormat/>
    <w:uiPriority w:val="11"/>
    <w:rPr>
      <w:color w:val="585858" w:themeColor="text1" w:themeTint="A6"/>
      <w:spacing w:val="15"/>
      <w:sz w:val="28"/>
      <w:szCs w:val="28"/>
    </w:rPr>
  </w:style>
  <w:style w:type="paragraph" w:styleId="22">
    <w:name w:val="footnote text"/>
    <w:basedOn w:val="1"/>
    <w:link w:val="186"/>
    <w:semiHidden/>
    <w:unhideWhenUsed/>
    <w:qFormat/>
    <w:uiPriority w:val="99"/>
    <w:pPr>
      <w:spacing w:after="0" w:line="240" w:lineRule="auto"/>
    </w:pPr>
    <w:rPr>
      <w:sz w:val="20"/>
      <w:szCs w:val="20"/>
    </w:rPr>
  </w:style>
  <w:style w:type="paragraph" w:styleId="23">
    <w:name w:val="toc 6"/>
    <w:basedOn w:val="1"/>
    <w:next w:val="1"/>
    <w:unhideWhenUsed/>
    <w:qFormat/>
    <w:uiPriority w:val="39"/>
    <w:pPr>
      <w:spacing w:after="100"/>
      <w:ind w:left="110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100"/>
      <w:ind w:left="220"/>
    </w:pPr>
  </w:style>
  <w:style w:type="paragraph" w:styleId="26">
    <w:name w:val="toc 9"/>
    <w:basedOn w:val="1"/>
    <w:next w:val="1"/>
    <w:unhideWhenUsed/>
    <w:qFormat/>
    <w:uiPriority w:val="39"/>
    <w:pPr>
      <w:spacing w:after="100"/>
      <w:ind w:left="1760"/>
    </w:pPr>
  </w:style>
  <w:style w:type="paragraph" w:styleId="27">
    <w:name w:val="Title"/>
    <w:basedOn w:val="1"/>
    <w:next w:val="1"/>
    <w:link w:val="171"/>
    <w:qFormat/>
    <w:uiPriority w:val="10"/>
    <w:pPr>
      <w:spacing w:after="80" w:line="240" w:lineRule="auto"/>
      <w:contextualSpacing/>
    </w:pPr>
    <w:rPr>
      <w:rFonts w:ascii="Arial" w:hAnsi="Arial" w:eastAsia="Arial" w:cs="Arial"/>
      <w:spacing w:val="-10"/>
      <w:sz w:val="56"/>
      <w:szCs w:val="56"/>
    </w:rPr>
  </w:style>
  <w:style w:type="table" w:styleId="29">
    <w:name w:val="Table Grid"/>
    <w:basedOn w:val="2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styleId="31">
    <w:name w:val="Strong"/>
    <w:basedOn w:val="30"/>
    <w:qFormat/>
    <w:uiPriority w:val="22"/>
    <w:rPr>
      <w:b/>
      <w:bCs/>
    </w:rPr>
  </w:style>
  <w:style w:type="character" w:styleId="32">
    <w:name w:val="endnote reference"/>
    <w:basedOn w:val="30"/>
    <w:semiHidden/>
    <w:unhideWhenUsed/>
    <w:qFormat/>
    <w:uiPriority w:val="99"/>
    <w:rPr>
      <w:vertAlign w:val="superscript"/>
    </w:rPr>
  </w:style>
  <w:style w:type="character" w:styleId="33">
    <w:name w:val="FollowedHyperlink"/>
    <w:basedOn w:val="30"/>
    <w:semiHidden/>
    <w:unhideWhenUsed/>
    <w:qFormat/>
    <w:uiPriority w:val="99"/>
    <w:rPr>
      <w:color w:val="800080" w:themeColor="followedHyperlink"/>
      <w:u w:val="single"/>
    </w:rPr>
  </w:style>
  <w:style w:type="character" w:styleId="34">
    <w:name w:val="Emphasis"/>
    <w:basedOn w:val="30"/>
    <w:qFormat/>
    <w:uiPriority w:val="20"/>
    <w:rPr>
      <w:i/>
      <w:iCs/>
    </w:rPr>
  </w:style>
  <w:style w:type="character" w:styleId="35">
    <w:name w:val="Hyperlink"/>
    <w:basedOn w:val="30"/>
    <w:unhideWhenUsed/>
    <w:uiPriority w:val="99"/>
    <w:rPr>
      <w:color w:val="0000FF" w:themeColor="hyperlink"/>
      <w:u w:val="single"/>
    </w:rPr>
  </w:style>
  <w:style w:type="character" w:styleId="36">
    <w:name w:val="footnote reference"/>
    <w:basedOn w:val="30"/>
    <w:semiHidden/>
    <w:unhideWhenUsed/>
    <w:qFormat/>
    <w:uiPriority w:val="99"/>
    <w:rPr>
      <w:vertAlign w:val="superscript"/>
    </w:rPr>
  </w:style>
  <w:style w:type="table" w:customStyle="1" w:styleId="37">
    <w:name w:val="Table Grid Light"/>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8">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themeColor="text1" w:themeTint="0D" w:fill="F1F1F1" w:themeFill="text1" w:themeFillTint="0D"/>
      </w:tcPr>
    </w:tblStylePr>
    <w:tblStylePr w:type="band2Vert">
      <w:tblPr/>
    </w:tblStylePr>
    <w:tblStylePr w:type="band1Horz">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39">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0">
    <w:name w:val="Plain Table 3"/>
    <w:basedOn w:val="28"/>
    <w:qFormat/>
    <w:uiPriority w:val="99"/>
    <w:pPr>
      <w:spacing w:after="0" w:line="240" w:lineRule="auto"/>
    </w:pPr>
    <w:tblPr/>
    <w:tblStylePr w:type="firstRow">
      <w:rPr>
        <w:b/>
        <w:caps/>
        <w:color w:val="404040"/>
      </w:rPr>
      <w:tblPr/>
      <w:tcPr>
        <w:tcBorders>
          <w:top w:val="nil"/>
          <w:left w:val="nil"/>
          <w:bottom w:val="single" w:color="404040" w:sz="4" w:space="0"/>
          <w:right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tcBorders>
      </w:tcPr>
    </w:tblStylePr>
    <w:tblStylePr w:type="lastCol">
      <w:rPr>
        <w:b/>
        <w:caps/>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1">
    <w:name w:val="Plain Table 4"/>
    <w:basedOn w:val="28"/>
    <w:qFormat/>
    <w:uiPriority w:val="99"/>
    <w:pPr>
      <w:spacing w:after="0" w:line="240" w:lineRule="auto"/>
    </w:pP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2">
    <w:name w:val="Plain Table 5"/>
    <w:basedOn w:val="28"/>
    <w:qFormat/>
    <w:uiPriority w:val="99"/>
    <w:pPr>
      <w:spacing w:after="0" w:line="240" w:lineRule="auto"/>
    </w:pPr>
    <w:tblPr/>
    <w:tblStylePr w:type="firstRow">
      <w:rPr>
        <w:i/>
        <w:color w:val="404040"/>
      </w:rPr>
      <w:tblPr/>
      <w:tcPr>
        <w:tcBorders>
          <w:left w:val="nil"/>
          <w:bottom w:val="single" w:color="404040" w:sz="4" w:space="0"/>
          <w:right w:val="nil"/>
        </w:tcBorders>
        <w:shd w:val="clear" w:color="FFFFFF" w:fill="auto"/>
      </w:tcPr>
    </w:tblStylePr>
    <w:tblStylePr w:type="lastRow">
      <w:rPr>
        <w:i/>
        <w:color w:val="404040"/>
      </w:rPr>
      <w:tblPr/>
      <w:tcPr>
        <w:tcBorders>
          <w:top w:val="single" w:color="404040" w:sz="4" w:space="0"/>
          <w:left w:val="nil"/>
          <w:right w:val="nil"/>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3">
    <w:name w:val="Grid Table 1 Light"/>
    <w:basedOn w:val="2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blPr/>
      <w:tcPr>
        <w:tcBorders>
          <w:bottom w:val="single" w:color="696969" w:themeColor="tex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4">
    <w:name w:val="Grid Table 1 Light - Accent 1"/>
    <w:basedOn w:val="2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blPr/>
      <w:tcPr>
        <w:tcBorders>
          <w:bottom w:val="single" w:color="98B5D8" w:themeColor="accen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5">
    <w:name w:val="Grid Table 1 Light - Accent 2"/>
    <w:basedOn w:val="2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6">
    <w:name w:val="Grid Table 1 Light - Accent 3"/>
    <w:basedOn w:val="2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E" w:themeColor="accent3"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7">
    <w:name w:val="Grid Table 1 Light - Accent 4"/>
    <w:basedOn w:val="2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8">
    <w:name w:val="Grid Table 1 Light - Accent 5"/>
    <w:basedOn w:val="2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49">
    <w:name w:val="Grid Table 1 Light - Accent 6"/>
    <w:basedOn w:val="2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0">
    <w:name w:val="Grid Table 2"/>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single" w:color="696969" w:themeColor="text1" w:themeTint="95" w:sz="12" w:space="0"/>
          <w:right w:val="nil"/>
        </w:tcBorders>
        <w:shd w:val="clear" w:color="FFFFFF" w:fill="auto"/>
      </w:tcPr>
    </w:tblStylePr>
    <w:tblStylePr w:type="lastRow">
      <w:rPr>
        <w:b/>
        <w:color w:val="404040"/>
      </w:rPr>
      <w:tblPr/>
      <w:tcPr>
        <w:tcBorders>
          <w:top w:val="single" w:color="696969" w:themeColor="text1" w:themeTint="9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1">
    <w:name w:val="Grid Table 2 - Accent 1"/>
    <w:basedOn w:val="2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blPr/>
      <w:tcPr>
        <w:tcBorders>
          <w:top w:val="nil"/>
          <w:left w:val="nil"/>
          <w:bottom w:val="single" w:color="5D8BC2" w:themeColor="accent1" w:themeTint="EA" w:sz="12" w:space="0"/>
          <w:right w:val="nil"/>
        </w:tcBorders>
        <w:shd w:val="clear" w:color="FFFFFF" w:fill="auto"/>
      </w:tcPr>
    </w:tblStylePr>
    <w:tblStylePr w:type="lastRow">
      <w:rPr>
        <w:b/>
        <w:color w:val="404040"/>
      </w:rPr>
      <w:tblPr/>
      <w:tcPr>
        <w:tcBorders>
          <w:top w:val="single" w:color="5D8BC2" w:themeColor="accent1" w:themeTint="E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2">
    <w:name w:val="Grid Table 2 - Accent 2"/>
    <w:basedOn w:val="2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blPr/>
      <w:tcPr>
        <w:tcBorders>
          <w:top w:val="nil"/>
          <w:left w:val="nil"/>
          <w:bottom w:val="single" w:color="D99795" w:themeColor="accent2" w:themeTint="97" w:sz="12" w:space="0"/>
          <w:right w:val="nil"/>
        </w:tcBorders>
        <w:shd w:val="clear" w:color="FFFFFF" w:fill="auto"/>
      </w:tcPr>
    </w:tblStylePr>
    <w:tblStylePr w:type="lastRow">
      <w:rPr>
        <w:b/>
        <w:color w:val="404040"/>
      </w:rPr>
      <w:tblPr/>
      <w:tcPr>
        <w:tcBorders>
          <w:top w:val="single" w:color="D99795" w:themeColor="accent2" w:themeTint="97"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3">
    <w:name w:val="Grid Table 2 - Accent 3"/>
    <w:basedOn w:val="2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blPr/>
      <w:tcPr>
        <w:tcBorders>
          <w:top w:val="nil"/>
          <w:left w:val="nil"/>
          <w:bottom w:val="single" w:color="9BBB59" w:themeColor="accent3" w:themeTint="FE" w:sz="12" w:space="0"/>
          <w:right w:val="nil"/>
        </w:tcBorders>
        <w:shd w:val="clear" w:color="FFFFFF" w:fill="auto"/>
      </w:tcPr>
    </w:tblStylePr>
    <w:tblStylePr w:type="lastRow">
      <w:rPr>
        <w:b/>
        <w:color w:val="404040"/>
      </w:rPr>
      <w:tblPr/>
      <w:tcPr>
        <w:tcBorders>
          <w:top w:val="single" w:color="9BBB59" w:themeColor="accent3" w:themeTint="FE"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4">
    <w:name w:val="Grid Table 2 - Accent 4"/>
    <w:basedOn w:val="2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il"/>
          <w:left w:val="nil"/>
          <w:bottom w:val="single" w:color="B2A1C6" w:themeColor="accent4" w:themeTint="9A" w:sz="12" w:space="0"/>
          <w:right w:val="nil"/>
        </w:tcBorders>
        <w:shd w:val="clear" w:color="FFFFFF" w:fill="auto"/>
      </w:tcPr>
    </w:tblStylePr>
    <w:tblStylePr w:type="lastRow">
      <w:rPr>
        <w:b/>
        <w:color w:val="404040"/>
      </w:rPr>
      <w:tblPr/>
      <w:tcPr>
        <w:tcBorders>
          <w:top w:val="single" w:color="B2A1C6" w:themeColor="accent4" w:themeTint="9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5">
    <w:name w:val="Grid Table 2 - Accent 5"/>
    <w:basedOn w:val="2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il"/>
          <w:left w:val="nil"/>
          <w:bottom w:val="single" w:color="4BACC6" w:themeColor="accent5" w:sz="12" w:space="0"/>
          <w:right w:val="nil"/>
        </w:tcBorders>
        <w:shd w:val="clear" w:color="FFFFFF" w:fill="auto"/>
      </w:tcPr>
    </w:tblStylePr>
    <w:tblStylePr w:type="lastRow">
      <w:rPr>
        <w:b/>
        <w:color w:val="404040"/>
      </w:rPr>
      <w:tblPr/>
      <w:tcPr>
        <w:tcBorders>
          <w:top w:val="single" w:color="4BACC6" w:themeColor="accent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6">
    <w:name w:val="Grid Table 2 - Accent 6"/>
    <w:basedOn w:val="2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il"/>
          <w:left w:val="nil"/>
          <w:bottom w:val="single" w:color="F79646" w:themeColor="accent6" w:sz="12" w:space="0"/>
          <w:right w:val="nil"/>
        </w:tcBorders>
        <w:shd w:val="clear" w:color="FFFFFF" w:fill="auto"/>
      </w:tcPr>
    </w:tblStylePr>
    <w:tblStylePr w:type="lastRow">
      <w:rPr>
        <w:b/>
        <w:color w:val="404040"/>
      </w:rPr>
      <w:tblPr/>
      <w:tcPr>
        <w:tcBorders>
          <w:top w:val="single" w:color="F79646" w:themeColor="accent6"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7">
    <w:name w:val="Grid Table 3"/>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8">
    <w:name w:val="Grid Table 3 - Accent 1"/>
    <w:basedOn w:val="2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9">
    <w:name w:val="Grid Table 3 - Accent 2"/>
    <w:basedOn w:val="2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0">
    <w:name w:val="Grid Table 3 - Accent 3"/>
    <w:basedOn w:val="2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1">
    <w:name w:val="Grid Table 3 - Accent 4"/>
    <w:basedOn w:val="2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2">
    <w:name w:val="Grid Table 3 - Accent 5"/>
    <w:basedOn w:val="2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3">
    <w:name w:val="Grid Table 3 - Accent 6"/>
    <w:basedOn w:val="2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4">
    <w:name w:val="Grid Table 4"/>
    <w:basedOn w:val="2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5">
    <w:name w:val="Grid Table 4 - Accent 1"/>
    <w:basedOn w:val="2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blPr/>
      <w:tcPr>
        <w:tcBorders>
          <w:top w:val="single" w:color="5D8BC2" w:themeColor="accent1" w:themeTint="E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CE6F2" w:themeColor="accent1" w:themeTint="32" w:fill="DCE6F2" w:themeFill="accent1" w:themeFillTint="32"/>
      </w:tcPr>
    </w:tblStylePr>
    <w:tblStylePr w:type="band2Vert">
      <w:tblPr/>
    </w:tblStylePr>
    <w:tblStylePr w:type="band1Horz">
      <w:rPr>
        <w:rFonts w:ascii="Arial" w:hAnsi="Arial"/>
        <w:color w:val="404040"/>
        <w:sz w:val="22"/>
      </w:rPr>
      <w:tblPr/>
      <w:tcPr>
        <w:shd w:val="clear" w:color="DCE6F2" w:themeColor="accent1" w:themeTint="32" w:fill="DCE6F2" w:themeFill="accent1"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6">
    <w:name w:val="Grid Table 4 - Accent 2"/>
    <w:basedOn w:val="2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bl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blPr/>
      <w:tcPr>
        <w:tcBorders>
          <w:top w:val="single" w:color="D99795" w:themeColor="accent2" w:themeTint="97"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7">
    <w:name w:val="Grid Table 4 - Accent 3"/>
    <w:basedOn w:val="2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blPr/>
      <w:tcPr>
        <w:tcBorders>
          <w:top w:val="single" w:color="9BBB59" w:themeColor="accent3" w:themeTint="FE"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8">
    <w:name w:val="Grid Table 4 - Accent 4"/>
    <w:basedOn w:val="2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9">
    <w:name w:val="Grid Table 4 - Accent 5"/>
    <w:basedOn w:val="2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0">
    <w:name w:val="Grid Table 4 - Accent 6"/>
    <w:basedOn w:val="2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1">
    <w:name w:val="Grid Table 5 Dark"/>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98989" w:themeColor="text1" w:themeTint="75" w:fill="898989" w:themeFill="text1" w:themeFillTint="75"/>
      </w:tcPr>
    </w:tblStylePr>
    <w:tblStylePr w:type="band2Vert">
      <w:tblPr/>
    </w:tblStylePr>
    <w:tblStylePr w:type="band1Horz">
      <w:tblPr/>
      <w:tcPr>
        <w:shd w:val="clear" w:color="898989" w:themeColor="text1" w:themeTint="75" w:fill="898989" w:themeFill="tex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2">
    <w:name w:val="Grid Table 5 Dark- Accent 1"/>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5E0" w:themeColor="accent1" w:themeTint="75" w:fill="AEC5E0" w:themeFill="accent1" w:themeFillTint="75"/>
      </w:tcPr>
    </w:tblStylePr>
    <w:tblStylePr w:type="band2Vert">
      <w:tblPr/>
    </w:tblStylePr>
    <w:tblStylePr w:type="band1Horz">
      <w:tblPr/>
      <w:tcPr>
        <w:shd w:val="clear" w:color="AEC5E0" w:themeColor="accent1" w:themeTint="75" w:fill="AEC5E0" w:themeFill="accen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3">
    <w:name w:val="Grid Table 5 Dark - Accent 2"/>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2Vert">
      <w:tblPr/>
    </w:tblStylePr>
    <w:tblStylePr w:type="band1Horz">
      <w:tblPr/>
      <w:tcPr>
        <w:shd w:val="clear" w:color="E2AEAD" w:themeColor="accent2" w:themeTint="75" w:fill="E2AEAD" w:themeFill="accent2"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4">
    <w:name w:val="Grid Table 5 Dark - Accent 3"/>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1DFB2" w:themeColor="accent3" w:themeTint="75" w:fill="D1DFB2" w:themeFill="accent3" w:themeFillTint="75"/>
      </w:tcPr>
    </w:tblStylePr>
    <w:tblStylePr w:type="band2Vert">
      <w:tblPr/>
    </w:tblStylePr>
    <w:tblStylePr w:type="band1Horz">
      <w:tblPr/>
      <w:tcPr>
        <w:shd w:val="clear" w:color="D1DFB2" w:themeColor="accent3" w:themeTint="75" w:fill="D1DFB2" w:themeFill="accent3"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5">
    <w:name w:val="Grid Table 5 Dark- Accent 4"/>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2Vert">
      <w:tblPr/>
    </w:tblStylePr>
    <w:tblStylePr w:type="band1Horz">
      <w:tblPr/>
      <w:tcPr>
        <w:shd w:val="clear" w:color="C4B7D4" w:themeColor="accent4" w:themeTint="75" w:fill="C4B7D4" w:themeFill="accent4"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6">
    <w:name w:val="Grid Table 5 Dark - Accent 5"/>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2Vert">
      <w:tblPr/>
    </w:tblStylePr>
    <w:tblStylePr w:type="band1Horz">
      <w:tblPr/>
      <w:tcPr>
        <w:shd w:val="clear" w:color="ACD8E4" w:themeColor="accent5" w:themeTint="75" w:fill="ACD8E4" w:themeFill="accent5"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7">
    <w:name w:val="Grid Table 5 Dark - Accent 6"/>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2Vert">
      <w:tblPr/>
    </w:tblStylePr>
    <w:tblStylePr w:type="band1Horz">
      <w:tblPr/>
      <w:tcPr>
        <w:shd w:val="clear" w:color="FBCEAA" w:themeColor="accent6" w:themeTint="75" w:fill="FBCEAA" w:themeFill="accent6"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8">
    <w:name w:val="Grid Table 6 Colorful"/>
    <w:basedOn w:val="2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blPr/>
      <w:tcPr>
        <w:tcBorders>
          <w:bottom w:val="single" w:color="7E7E7E" w:themeColor="text1" w:themeTint="80" w:sz="12" w:space="0"/>
        </w:tcBorders>
      </w:tcPr>
    </w:tblStylePr>
    <w:tblStylePr w:type="lastRow">
      <w:rPr>
        <w:b/>
        <w:color w:val="7E7E7E" w:themeColor="text1" w:themeShade="95" w:themeTint="80"/>
      </w:rPr>
      <w:tblPr/>
    </w:tblStylePr>
    <w:tblStylePr w:type="firstCol">
      <w:rPr>
        <w:b/>
        <w:color w:val="7E7E7E" w:themeColor="text1" w:themeShade="95" w:themeTint="80"/>
      </w:rPr>
      <w:tblPr/>
    </w:tblStylePr>
    <w:tblStylePr w:type="lastCol">
      <w:rPr>
        <w:b/>
        <w:color w:val="7E7E7E" w:themeColor="text1" w:themeShade="95" w:themeTint="80"/>
      </w:rPr>
      <w:tblPr/>
    </w:tblStylePr>
    <w:tblStylePr w:type="band1Vert">
      <w:tblPr/>
      <w:tcPr>
        <w:shd w:val="clear" w:color="CACACA" w:themeColor="text1" w:themeTint="34" w:fill="CACACA" w:themeFill="text1" w:themeFillTint="34"/>
      </w:tcPr>
    </w:tblStylePr>
    <w:tblStylePr w:type="band2Vert">
      <w:tblPr/>
    </w:tblStylePr>
    <w:tblStylePr w:type="band1Horz">
      <w:rPr>
        <w:rFonts w:ascii="Arial" w:hAnsi="Arial"/>
        <w:color w:val="7E7E7E" w:themeColor="text1" w:themeShade="95" w:themeTint="80"/>
        <w:sz w:val="22"/>
      </w:rPr>
      <w:tblPr/>
      <w:tcPr>
        <w:shd w:val="clear" w:color="CACACA" w:themeColor="text1" w:themeTint="34" w:fill="CACACA" w:themeFill="text1" w:themeFillTint="34"/>
      </w:tcPr>
    </w:tblStylePr>
    <w:tblStylePr w:type="band2Horz">
      <w:rPr>
        <w:rFonts w:ascii="Arial" w:hAnsi="Arial"/>
        <w:color w:val="7E7E7E" w:themeColor="tex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79">
    <w:name w:val="Grid Table 6 Colorful - Accent 1"/>
    <w:basedOn w:val="2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blPr/>
      <w:tcPr>
        <w:tcBorders>
          <w:bottom w:val="single" w:color="A6BFDD" w:themeColor="accent1" w:themeTint="80" w:sz="12" w:space="0"/>
        </w:tcBorders>
      </w:tcPr>
    </w:tblStylePr>
    <w:tblStylePr w:type="lastRow">
      <w:rPr>
        <w:b/>
        <w:color w:val="A6BFDD" w:themeColor="accent1" w:themeShade="95" w:themeTint="80"/>
      </w:rPr>
      <w:tblPr/>
    </w:tblStylePr>
    <w:tblStylePr w:type="firstCol">
      <w:rPr>
        <w:b/>
        <w:color w:val="A6BFDD" w:themeColor="accent1" w:themeShade="95" w:themeTint="80"/>
      </w:rPr>
      <w:tblPr/>
    </w:tblStylePr>
    <w:tblStylePr w:type="lastCol">
      <w:rPr>
        <w:b/>
        <w:color w:val="A6BFDD" w:themeColor="accent1" w:themeShade="95" w:themeTint="80"/>
      </w:rPr>
      <w:tbl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6BFDD" w:themeColor="accent1" w:themeShade="95" w:themeTint="80"/>
        <w:sz w:val="22"/>
      </w:rPr>
      <w:tbl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80">
    <w:name w:val="Grid Table 6 Colorful - Accent 2"/>
    <w:basedOn w:val="2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blPr/>
      <w:tcPr>
        <w:tcBorders>
          <w:bottom w:val="single" w:color="D99795" w:themeColor="accent2" w:themeTint="97" w:sz="12" w:space="0"/>
        </w:tcBorders>
      </w:tcPr>
    </w:tblStylePr>
    <w:tblStylePr w:type="lastRow">
      <w:rPr>
        <w:b/>
        <w:color w:val="D99795" w:themeColor="accent2" w:themeShade="95" w:themeTint="97"/>
      </w:rPr>
      <w:tblPr/>
    </w:tblStylePr>
    <w:tblStylePr w:type="firstCol">
      <w:rPr>
        <w:b/>
        <w:color w:val="D99795" w:themeColor="accent2" w:themeShade="95" w:themeTint="97"/>
      </w:rPr>
      <w:tblPr/>
    </w:tblStylePr>
    <w:tblStylePr w:type="lastCol">
      <w:rPr>
        <w:b/>
        <w:color w:val="D99795" w:themeColor="accent2" w:themeShade="95" w:themeTint="97"/>
      </w:rPr>
      <w:tbl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99795" w:themeColor="accent2" w:themeShade="95" w:themeTint="97"/>
        <w:sz w:val="22"/>
      </w:rPr>
      <w:tbl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81">
    <w:name w:val="Grid Table 6 Colorful - Accent 3"/>
    <w:basedOn w:val="2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blPr/>
      <w:tcPr>
        <w:tcBorders>
          <w:bottom w:val="single" w:color="9BBB59" w:themeColor="accent3" w:themeTint="FE" w:sz="12" w:space="0"/>
        </w:tcBorders>
      </w:tcPr>
    </w:tblStylePr>
    <w:tblStylePr w:type="lastRow">
      <w:rPr>
        <w:b/>
        <w:color w:val="9BBB59" w:themeColor="accent3" w:themeShade="95" w:themeTint="FE"/>
      </w:rPr>
      <w:tblPr/>
    </w:tblStylePr>
    <w:tblStylePr w:type="firstCol">
      <w:rPr>
        <w:b/>
        <w:color w:val="9BBB59" w:themeColor="accent3" w:themeShade="95" w:themeTint="FE"/>
      </w:rPr>
      <w:tblPr/>
    </w:tblStylePr>
    <w:tblStylePr w:type="lastCol">
      <w:rPr>
        <w:b/>
        <w:color w:val="9BBB59" w:themeColor="accent3" w:themeShade="95" w:themeTint="FE"/>
      </w:rPr>
      <w:tbl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themeShade="95" w:themeTint="FE"/>
        <w:sz w:val="22"/>
      </w:rPr>
      <w:tbl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Pr/>
    </w:tblStylePr>
    <w:tblStylePr w:type="neCell">
      <w:tblPr/>
    </w:tblStylePr>
    <w:tblStylePr w:type="nwCell">
      <w:tblPr/>
    </w:tblStylePr>
    <w:tblStylePr w:type="seCell">
      <w:tblPr/>
    </w:tblStylePr>
    <w:tblStylePr w:type="swCell">
      <w:tblPr/>
    </w:tblStylePr>
  </w:style>
  <w:style w:type="table" w:customStyle="1" w:styleId="82">
    <w:name w:val="Grid Table 6 Colorful - Accent 4"/>
    <w:basedOn w:val="2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blPr/>
      <w:tcPr>
        <w:tcBorders>
          <w:bottom w:val="single" w:color="B2A1C6" w:themeColor="accent4" w:themeTint="9A" w:sz="12" w:space="0"/>
        </w:tcBorders>
      </w:tcPr>
    </w:tblStylePr>
    <w:tblStylePr w:type="lastRow">
      <w:rPr>
        <w:b/>
        <w:color w:val="B2A1C6" w:themeColor="accent4" w:themeShade="95" w:themeTint="9A"/>
      </w:rPr>
      <w:tblPr/>
    </w:tblStylePr>
    <w:tblStylePr w:type="firstCol">
      <w:rPr>
        <w:b/>
        <w:color w:val="B2A1C6" w:themeColor="accent4" w:themeShade="95" w:themeTint="9A"/>
      </w:rPr>
      <w:tblPr/>
    </w:tblStylePr>
    <w:tblStylePr w:type="lastCol">
      <w:rPr>
        <w:b/>
        <w:color w:val="B2A1C6" w:themeColor="accent4" w:themeShade="95" w:themeTint="9A"/>
      </w:rPr>
      <w:tbl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2A1C6" w:themeColor="accent4" w:themeShade="95" w:themeTint="9A"/>
        <w:sz w:val="22"/>
      </w:rPr>
      <w:tbl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83">
    <w:name w:val="Grid Table 6 Colorful - Accent 5"/>
    <w:basedOn w:val="2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Pr/>
    </w:tblStylePr>
    <w:tblStylePr w:type="firstCol">
      <w:rPr>
        <w:b/>
        <w:color w:val="266779" w:themeColor="accent5" w:themeShade="95"/>
      </w:rPr>
      <w:tblPr/>
    </w:tblStylePr>
    <w:tblStylePr w:type="lastCol">
      <w:rPr>
        <w:b/>
        <w:color w:val="266779" w:themeColor="accent5" w:themeShade="95"/>
      </w:rPr>
      <w:tbl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Pr/>
    </w:tblStylePr>
    <w:tblStylePr w:type="neCell">
      <w:tblPr/>
    </w:tblStylePr>
    <w:tblStylePr w:type="nwCell">
      <w:tblPr/>
    </w:tblStylePr>
    <w:tblStylePr w:type="seCell">
      <w:tblPr/>
    </w:tblStylePr>
    <w:tblStylePr w:type="swCell">
      <w:tblPr/>
    </w:tblStylePr>
  </w:style>
  <w:style w:type="table" w:customStyle="1" w:styleId="84">
    <w:name w:val="Grid Table 6 Colorful - Accent 6"/>
    <w:basedOn w:val="2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Pr/>
    </w:tblStylePr>
    <w:tblStylePr w:type="firstCol">
      <w:rPr>
        <w:b/>
        <w:color w:val="266779" w:themeColor="accent5" w:themeShade="95"/>
      </w:rPr>
      <w:tblPr/>
    </w:tblStylePr>
    <w:tblStylePr w:type="lastCol">
      <w:rPr>
        <w:b/>
        <w:color w:val="266779" w:themeColor="accent5" w:themeShade="95"/>
      </w:rPr>
      <w:tbl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266779" w:themeColor="accent5" w:themeShade="95"/>
        <w:sz w:val="22"/>
      </w:rPr>
      <w:tblPr/>
      <w:tcPr>
        <w:shd w:val="clear" w:color="FDE9D9" w:themeColor="accent6" w:themeTint="34" w:fill="FDE9D9" w:themeFill="accent6" w:themeFillTint="34"/>
      </w:tcPr>
    </w:tblStylePr>
    <w:tblStylePr w:type="band2Horz">
      <w:rPr>
        <w:rFonts w:ascii="Arial" w:hAnsi="Arial"/>
        <w:color w:val="266779" w:themeColor="accent5" w:themeShade="95"/>
        <w:sz w:val="22"/>
      </w:rPr>
      <w:tblPr/>
    </w:tblStylePr>
    <w:tblStylePr w:type="neCell">
      <w:tblPr/>
    </w:tblStylePr>
    <w:tblStylePr w:type="nwCell">
      <w:tblPr/>
    </w:tblStylePr>
    <w:tblStylePr w:type="seCell">
      <w:tblPr/>
    </w:tblStylePr>
    <w:tblStylePr w:type="swCell">
      <w:tblPr/>
    </w:tblStylePr>
  </w:style>
  <w:style w:type="table" w:customStyle="1" w:styleId="85">
    <w:name w:val="Grid Table 7 Colorful"/>
    <w:basedOn w:val="2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blPr/>
      <w:tcPr>
        <w:tcBorders>
          <w:top w:val="nil"/>
          <w:left w:val="single" w:color="7E7E7E" w:themeColor="text1" w:themeTint="80" w:sz="4" w:space="0"/>
          <w:bottom w:val="nil"/>
          <w:right w:val="nil"/>
        </w:tcBorders>
        <w:shd w:val="clear" w:color="FFFFFF" w:fill="auto"/>
      </w:tcPr>
    </w:tblStylePr>
    <w:tblStylePr w:type="band1Vert">
      <w:tblPr/>
      <w:tcPr>
        <w:shd w:val="clear" w:color="F1F1F1" w:themeColor="text1" w:themeTint="0D" w:fill="F1F1F1" w:themeFill="text1" w:themeFillTint="0D"/>
      </w:tcPr>
    </w:tblStylePr>
    <w:tblStylePr w:type="band2Vert">
      <w:tblPr/>
    </w:tblStylePr>
    <w:tblStylePr w:type="band1Horz">
      <w:rPr>
        <w:rFonts w:ascii="Arial" w:hAnsi="Arial"/>
        <w:color w:val="7E7E7E" w:themeColor="text1" w:themeShade="95" w:themeTint="80"/>
        <w:sz w:val="22"/>
      </w:rPr>
      <w:tblPr/>
      <w:tcPr>
        <w:shd w:val="clear" w:color="F1F1F1" w:themeColor="text1" w:themeTint="0D" w:fill="F1F1F1" w:themeFill="text1" w:themeFillTint="0D"/>
      </w:tcPr>
    </w:tblStylePr>
    <w:tblStylePr w:type="band2Horz">
      <w:rPr>
        <w:rFonts w:ascii="Arial" w:hAnsi="Arial"/>
        <w:color w:val="7E7E7E" w:themeColor="tex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86">
    <w:name w:val="Grid Table 7 Colorful - Accent 1"/>
    <w:basedOn w:val="2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bl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bl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bl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blPr/>
      <w:tcPr>
        <w:tcBorders>
          <w:top w:val="nil"/>
          <w:left w:val="single" w:color="A6BFDD" w:themeColor="accent1" w:themeTint="80" w:sz="4" w:space="0"/>
          <w:bottom w:val="nil"/>
          <w:right w:val="nil"/>
        </w:tcBorders>
        <w:shd w:val="clear" w:color="FFFFFF" w:fill="auto"/>
      </w:tc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6BFDD" w:themeColor="accent1" w:themeShade="95" w:themeTint="80"/>
        <w:sz w:val="22"/>
      </w:rPr>
      <w:tbl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87">
    <w:name w:val="Grid Table 7 Colorful - Accent 2"/>
    <w:basedOn w:val="2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blPr/>
      <w:tcPr>
        <w:tcBorders>
          <w:top w:val="nil"/>
          <w:left w:val="single" w:color="D99795" w:themeColor="accent2" w:themeTint="97" w:sz="4" w:space="0"/>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99795" w:themeColor="accent2" w:themeShade="95" w:themeTint="97"/>
        <w:sz w:val="22"/>
      </w:rPr>
      <w:tbl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88">
    <w:name w:val="Grid Table 7 Colorful - Accent 3"/>
    <w:basedOn w:val="2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bl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bl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bl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blPr/>
      <w:tcPr>
        <w:tcBorders>
          <w:top w:val="nil"/>
          <w:left w:val="single" w:color="9BBB59" w:themeColor="accent3" w:themeTint="FE" w:sz="4" w:space="0"/>
          <w:bottom w:val="nil"/>
          <w:right w:val="nil"/>
        </w:tcBorders>
        <w:shd w:val="clear" w:color="FFFFFF" w:fill="auto"/>
      </w:tc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themeShade="95" w:themeTint="FE"/>
        <w:sz w:val="22"/>
      </w:rPr>
      <w:tbl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Pr/>
    </w:tblStylePr>
    <w:tblStylePr w:type="neCell">
      <w:tblPr/>
    </w:tblStylePr>
    <w:tblStylePr w:type="nwCell">
      <w:tblPr/>
    </w:tblStylePr>
    <w:tblStylePr w:type="seCell">
      <w:tblPr/>
    </w:tblStylePr>
    <w:tblStylePr w:type="swCell">
      <w:tblPr/>
    </w:tblStylePr>
  </w:style>
  <w:style w:type="table" w:customStyle="1" w:styleId="89">
    <w:name w:val="Grid Table 7 Colorful - Accent 4"/>
    <w:basedOn w:val="2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blPr/>
      <w:tcPr>
        <w:tcBorders>
          <w:top w:val="nil"/>
          <w:left w:val="single" w:color="B2A1C6" w:themeColor="accent4" w:themeTint="9A" w:sz="4" w:space="0"/>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2A1C6" w:themeColor="accent4" w:themeShade="95" w:themeTint="9A"/>
        <w:sz w:val="22"/>
      </w:rPr>
      <w:tbl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90">
    <w:name w:val="Grid Table 7 Colorful - Accent 5"/>
    <w:basedOn w:val="2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il"/>
          <w:left w:val="single" w:color="99D0DE" w:themeColor="accent5" w:themeTint="90" w:sz="4" w:space="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Pr/>
    </w:tblStylePr>
    <w:tblStylePr w:type="neCell">
      <w:tblPr/>
    </w:tblStylePr>
    <w:tblStylePr w:type="nwCell">
      <w:tblPr/>
    </w:tblStylePr>
    <w:tblStylePr w:type="seCell">
      <w:tblPr/>
    </w:tblStylePr>
    <w:tblStylePr w:type="swCell">
      <w:tblPr/>
    </w:tblStylePr>
  </w:style>
  <w:style w:type="table" w:customStyle="1" w:styleId="91">
    <w:name w:val="Grid Table 7 Colorful - Accent 6"/>
    <w:basedOn w:val="2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il"/>
          <w:left w:val="single" w:color="FAC396" w:themeColor="accent6" w:themeTint="90" w:sz="4" w:space="0"/>
          <w:bottom w:val="nil"/>
          <w:right w:val="nil"/>
        </w:tcBorders>
        <w:shd w:val="clear" w:color="FFFFFF" w:fill="auto"/>
      </w:tc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B15407" w:themeColor="accent6" w:themeShade="95"/>
        <w:sz w:val="22"/>
      </w:rPr>
      <w:tblPr/>
      <w:tcPr>
        <w:shd w:val="clear" w:color="FDE9D9" w:themeColor="accent6" w:themeTint="34" w:fill="FDE9D9" w:themeFill="accent6" w:themeFillTint="34"/>
      </w:tcPr>
    </w:tblStylePr>
    <w:tblStylePr w:type="band2Horz">
      <w:rPr>
        <w:rFonts w:ascii="Arial" w:hAnsi="Arial"/>
        <w:color w:val="B15407" w:themeColor="accent6" w:themeShade="95"/>
        <w:sz w:val="22"/>
      </w:rPr>
      <w:tblPr/>
    </w:tblStylePr>
    <w:tblStylePr w:type="neCell">
      <w:tblPr/>
    </w:tblStylePr>
    <w:tblStylePr w:type="nwCell">
      <w:tblPr/>
    </w:tblStylePr>
    <w:tblStylePr w:type="seCell">
      <w:tblPr/>
    </w:tblStylePr>
    <w:tblStylePr w:type="swCell">
      <w:tblPr/>
    </w:tblStylePr>
  </w:style>
  <w:style w:type="table" w:customStyle="1" w:styleId="92">
    <w:name w:val="List Table 1 Light"/>
    <w:basedOn w:val="28"/>
    <w:qFormat/>
    <w:uiPriority w:val="99"/>
    <w:pPr>
      <w:spacing w:after="0" w:line="240" w:lineRule="auto"/>
    </w:pPr>
    <w:tblPr/>
    <w:tblStylePr w:type="firstRow">
      <w:rPr>
        <w:b/>
        <w:color w:val="404040"/>
      </w:rPr>
      <w:tblPr/>
      <w:tcPr>
        <w:tcBorders>
          <w:top w:val="nil"/>
          <w:left w:val="nil"/>
          <w:bottom w:val="single" w:color="000000" w:themeColor="text1" w:sz="4" w:space="0"/>
          <w:right w:val="nil"/>
        </w:tcBorders>
      </w:tcPr>
    </w:tblStylePr>
    <w:tblStylePr w:type="lastRow">
      <w:rPr>
        <w:b/>
        <w:color w:val="404040"/>
      </w:rPr>
      <w:tblPr/>
      <w:tcPr>
        <w:tcBorders>
          <w:top w:val="single" w:color="000000" w:themeColor="tex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BEBEBE" w:themeColor="text1" w:themeTint="40" w:fill="BEBEBE" w:themeFill="text1" w:themeFillTint="40"/>
      </w:tcPr>
    </w:tblStylePr>
    <w:tblStylePr w:type="band2Vert">
      <w:tblPr/>
    </w:tblStylePr>
    <w:tblStylePr w:type="band1Horz">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3">
    <w:name w:val="List Table 1 Light - Accent 1"/>
    <w:basedOn w:val="28"/>
    <w:qFormat/>
    <w:uiPriority w:val="99"/>
    <w:pPr>
      <w:spacing w:after="0" w:line="240" w:lineRule="auto"/>
    </w:pPr>
    <w:tblPr/>
    <w:tblStylePr w:type="firstRow">
      <w:rPr>
        <w:b/>
        <w:color w:val="404040"/>
      </w:rPr>
      <w:tblPr/>
      <w:tcPr>
        <w:tcBorders>
          <w:top w:val="nil"/>
          <w:left w:val="nil"/>
          <w:bottom w:val="single" w:color="4F81BD" w:themeColor="accent1" w:sz="4" w:space="0"/>
          <w:right w:val="nil"/>
        </w:tcBorders>
      </w:tcPr>
    </w:tblStylePr>
    <w:tblStylePr w:type="lastRow">
      <w:rPr>
        <w:b/>
        <w:color w:val="404040"/>
      </w:rPr>
      <w:tblPr/>
      <w:tcPr>
        <w:tcBorders>
          <w:top w:val="single" w:color="4F81BD" w:themeColor="accen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2DFEE" w:themeColor="accent1" w:themeTint="40" w:fill="D2DFEE" w:themeFill="accent1" w:themeFillTint="40"/>
      </w:tcPr>
    </w:tblStylePr>
    <w:tblStylePr w:type="band2Vert">
      <w:tblPr/>
    </w:tblStylePr>
    <w:tblStylePr w:type="band1Horz">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4">
    <w:name w:val="List Table 1 Light - Accent 2"/>
    <w:basedOn w:val="28"/>
    <w:qFormat/>
    <w:uiPriority w:val="99"/>
    <w:pPr>
      <w:spacing w:after="0" w:line="240" w:lineRule="auto"/>
    </w:pPr>
    <w:tblPr/>
    <w:tblStylePr w:type="firstRow">
      <w:rPr>
        <w:b/>
        <w:color w:val="404040"/>
      </w:rPr>
      <w:tblPr/>
      <w:tcPr>
        <w:tcBorders>
          <w:top w:val="nil"/>
          <w:left w:val="nil"/>
          <w:bottom w:val="single" w:color="C0504D" w:themeColor="accent2" w:sz="4" w:space="0"/>
          <w:right w:val="nil"/>
        </w:tcBorders>
      </w:tcPr>
    </w:tblStylePr>
    <w:tblStylePr w:type="lastRow">
      <w:rPr>
        <w:b/>
        <w:color w:val="404040"/>
      </w:rPr>
      <w:tblPr/>
      <w:tcPr>
        <w:tcBorders>
          <w:top w:val="single" w:color="C0504D" w:themeColor="accent2"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FD3D2" w:themeColor="accent2" w:themeTint="40" w:fill="EFD3D2" w:themeFill="accent2" w:themeFillTint="40"/>
      </w:tcPr>
    </w:tblStylePr>
    <w:tblStylePr w:type="band2Vert">
      <w:tblPr/>
    </w:tblStylePr>
    <w:tblStylePr w:type="band1Horz">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5">
    <w:name w:val="List Table 1 Light - Accent 3"/>
    <w:basedOn w:val="28"/>
    <w:qFormat/>
    <w:uiPriority w:val="99"/>
    <w:pPr>
      <w:spacing w:after="0" w:line="240" w:lineRule="auto"/>
    </w:pPr>
    <w:tblPr/>
    <w:tblStylePr w:type="firstRow">
      <w:rPr>
        <w:b/>
        <w:color w:val="404040"/>
      </w:rPr>
      <w:tblPr/>
      <w:tcPr>
        <w:tcBorders>
          <w:top w:val="nil"/>
          <w:left w:val="nil"/>
          <w:bottom w:val="single" w:color="9BBB59" w:themeColor="accent3" w:sz="4" w:space="0"/>
          <w:right w:val="nil"/>
        </w:tcBorders>
      </w:tcPr>
    </w:tblStylePr>
    <w:tblStylePr w:type="lastRow">
      <w:rPr>
        <w:b/>
        <w:color w:val="404040"/>
      </w:rPr>
      <w:tblPr/>
      <w:tcPr>
        <w:tcBorders>
          <w:top w:val="single" w:color="9BBB59" w:themeColor="accent3"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5EDD5" w:themeColor="accent3" w:themeTint="40" w:fill="E5EDD5" w:themeFill="accent3" w:themeFillTint="40"/>
      </w:tcPr>
    </w:tblStylePr>
    <w:tblStylePr w:type="band2Vert">
      <w:tblPr/>
    </w:tblStylePr>
    <w:tblStylePr w:type="band1Horz">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6">
    <w:name w:val="List Table 1 Light - Accent 4"/>
    <w:basedOn w:val="28"/>
    <w:qFormat/>
    <w:uiPriority w:val="99"/>
    <w:pPr>
      <w:spacing w:after="0" w:line="240" w:lineRule="auto"/>
    </w:pPr>
    <w:tblPr/>
    <w:tblStylePr w:type="firstRow">
      <w:rPr>
        <w:b/>
        <w:color w:val="404040"/>
      </w:rPr>
      <w:tblPr/>
      <w:tcPr>
        <w:tcBorders>
          <w:top w:val="nil"/>
          <w:left w:val="nil"/>
          <w:bottom w:val="single" w:color="8064A2" w:themeColor="accent4" w:sz="4" w:space="0"/>
          <w:right w:val="nil"/>
        </w:tcBorders>
      </w:tcPr>
    </w:tblStylePr>
    <w:tblStylePr w:type="lastRow">
      <w:rPr>
        <w:b/>
        <w:color w:val="404040"/>
      </w:rPr>
      <w:tblPr/>
      <w:tcPr>
        <w:tcBorders>
          <w:top w:val="single" w:color="8064A2" w:themeColor="accent4"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FD8E7" w:themeColor="accent4" w:themeTint="40" w:fill="DFD8E7" w:themeFill="accent4" w:themeFillTint="40"/>
      </w:tcPr>
    </w:tblStylePr>
    <w:tblStylePr w:type="band2Vert">
      <w:tblPr/>
    </w:tblStylePr>
    <w:tblStylePr w:type="band1Horz">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7">
    <w:name w:val="List Table 1 Light - Accent 5"/>
    <w:basedOn w:val="28"/>
    <w:qFormat/>
    <w:uiPriority w:val="99"/>
    <w:pPr>
      <w:spacing w:after="0" w:line="240" w:lineRule="auto"/>
    </w:pPr>
    <w:tblPr/>
    <w:tblStylePr w:type="firstRow">
      <w:rPr>
        <w:b/>
        <w:color w:val="404040"/>
      </w:rPr>
      <w:tblPr/>
      <w:tcPr>
        <w:tcBorders>
          <w:top w:val="nil"/>
          <w:left w:val="nil"/>
          <w:bottom w:val="single" w:color="4BACC6" w:themeColor="accent5" w:sz="4" w:space="0"/>
          <w:right w:val="nil"/>
        </w:tcBorders>
      </w:tcPr>
    </w:tblStylePr>
    <w:tblStylePr w:type="lastRow">
      <w:rPr>
        <w:b/>
        <w:color w:val="404040"/>
      </w:rPr>
      <w:tblPr/>
      <w:tcPr>
        <w:tcBorders>
          <w:top w:val="single" w:color="4BACC6" w:themeColor="accent5"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1EAF0" w:themeColor="accent5" w:themeTint="40" w:fill="D1EAF0" w:themeFill="accent5" w:themeFillTint="40"/>
      </w:tcPr>
    </w:tblStylePr>
    <w:tblStylePr w:type="band2Vert">
      <w:tblPr/>
    </w:tblStylePr>
    <w:tblStylePr w:type="band1Horz">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8">
    <w:name w:val="List Table 1 Light - Accent 6"/>
    <w:basedOn w:val="28"/>
    <w:qFormat/>
    <w:uiPriority w:val="99"/>
    <w:pPr>
      <w:spacing w:after="0" w:line="240" w:lineRule="auto"/>
    </w:pPr>
    <w:tblPr/>
    <w:tblStylePr w:type="firstRow">
      <w:rPr>
        <w:b/>
        <w:color w:val="404040"/>
      </w:rPr>
      <w:tblPr/>
      <w:tcPr>
        <w:tcBorders>
          <w:top w:val="nil"/>
          <w:left w:val="nil"/>
          <w:bottom w:val="single" w:color="F79646" w:themeColor="accent6" w:sz="4" w:space="0"/>
          <w:right w:val="nil"/>
        </w:tcBorders>
      </w:tcPr>
    </w:tblStylePr>
    <w:tblStylePr w:type="lastRow">
      <w:rPr>
        <w:b/>
        <w:color w:val="404040"/>
      </w:rPr>
      <w:tblPr/>
      <w:tcPr>
        <w:tcBorders>
          <w:top w:val="single" w:color="F79646" w:themeColor="accent6"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CE4D0" w:themeColor="accent6" w:themeTint="40" w:fill="FCE4D0" w:themeFill="accent6" w:themeFillTint="40"/>
      </w:tcPr>
    </w:tblStylePr>
    <w:tblStylePr w:type="band2Vert">
      <w:tblPr/>
    </w:tblStylePr>
    <w:tblStylePr w:type="band1Horz">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9">
    <w:name w:val="List Table 2"/>
    <w:basedOn w:val="2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0">
    <w:name w:val="List Table 2 - Accent 1"/>
    <w:basedOn w:val="2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1">
    <w:name w:val="List Table 2 - Accent 2"/>
    <w:basedOn w:val="2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2">
    <w:name w:val="List Table 2 - Accent 3"/>
    <w:basedOn w:val="2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3">
    <w:name w:val="List Table 2 - Accent 4"/>
    <w:basedOn w:val="2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4">
    <w:name w:val="List Table 2 - Accent 5"/>
    <w:basedOn w:val="2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5">
    <w:name w:val="List Table 2 - Accent 6"/>
    <w:basedOn w:val="2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6">
    <w:name w:val="List Table 3"/>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2Vert">
      <w:tbl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7">
    <w:name w:val="List Table 3 - Accent 1"/>
    <w:basedOn w:val="2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2Vert">
      <w:tbl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8">
    <w:name w:val="List Table 3 - Accent 2"/>
    <w:basedOn w:val="2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blPr/>
      <w:tcPr>
        <w:shd w:val="clear" w:color="D99795" w:themeColor="accent2" w:themeTint="97" w:fill="D99795" w:themeFill="accent2" w:themeFillTint="97"/>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D99795" w:themeColor="accent2" w:themeTint="97" w:sz="4" w:space="0"/>
          <w:right w:val="single" w:color="D99795" w:themeColor="accent2" w:themeTint="97" w:sz="4" w:space="0"/>
        </w:tcBorders>
      </w:tcPr>
    </w:tblStylePr>
    <w:tblStylePr w:type="band2Vert">
      <w:tblPr/>
    </w:tblStylePr>
    <w:tblStylePr w:type="band1Horz">
      <w:rPr>
        <w:rFonts w:ascii="Arial" w:hAnsi="Arial"/>
        <w:color w:val="404040"/>
        <w:sz w:val="22"/>
      </w:rPr>
      <w:tblPr/>
      <w:tcPr>
        <w:tcBorders>
          <w:top w:val="single" w:color="D99795" w:themeColor="accent2" w:themeTint="97" w:sz="4" w:space="0"/>
          <w:bottom w:val="single" w:color="D99795" w:themeColor="accent2" w:themeTint="9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9">
    <w:name w:val="List Table 3 - Accent 3"/>
    <w:basedOn w:val="2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blPr/>
      <w:tcPr>
        <w:shd w:val="clear" w:color="C3D69C" w:themeColor="accent3" w:themeTint="98" w:fill="C3D69C" w:themeFill="accent3"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C3D69C" w:themeColor="accent3" w:themeTint="98" w:sz="4" w:space="0"/>
          <w:right w:val="single" w:color="C3D69C" w:themeColor="accent3" w:themeTint="98" w:sz="4" w:space="0"/>
        </w:tcBorders>
      </w:tcPr>
    </w:tblStylePr>
    <w:tblStylePr w:type="band2Vert">
      <w:tblPr/>
    </w:tblStylePr>
    <w:tblStylePr w:type="band1Horz">
      <w:rPr>
        <w:rFonts w:ascii="Arial" w:hAnsi="Arial"/>
        <w:color w:val="404040"/>
        <w:sz w:val="22"/>
      </w:rPr>
      <w:tblPr/>
      <w:tcPr>
        <w:tcBorders>
          <w:top w:val="single" w:color="C3D69C" w:themeColor="accent3" w:themeTint="98" w:sz="4" w:space="0"/>
          <w:bottom w:val="single" w:color="C3D69C" w:themeColor="accent3"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0">
    <w:name w:val="List Table 3 - Accent 4"/>
    <w:basedOn w:val="2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2Vert">
      <w:tbl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1">
    <w:name w:val="List Table 3 - Accent 5"/>
    <w:basedOn w:val="2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2Vert">
      <w:tbl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2">
    <w:name w:val="List Table 3 - Accent 6"/>
    <w:basedOn w:val="2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2Vert">
      <w:tbl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3">
    <w:name w:val="List Table 4"/>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4">
    <w:name w:val="List Table 4 - Accent 1"/>
    <w:basedOn w:val="2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5">
    <w:name w:val="List Table 4 - Accent 2"/>
    <w:basedOn w:val="2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6">
    <w:name w:val="List Table 4 - Accent 3"/>
    <w:basedOn w:val="2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7">
    <w:name w:val="List Table 4 - Accent 4"/>
    <w:basedOn w:val="2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8">
    <w:name w:val="List Table 4 - Accent 5"/>
    <w:basedOn w:val="2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9">
    <w:name w:val="List Table 4 - Accent 6"/>
    <w:basedOn w:val="2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0">
    <w:name w:val="List Table 5 Dark"/>
    <w:basedOn w:val="2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bl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7E7E7E" w:themeColor="text1" w:themeTint="80" w:sz="32" w:space="0"/>
          <w:right w:val="single" w:color="FFFFFF" w:themeColor="light1" w:sz="4" w:space="0"/>
        </w:tcBorders>
      </w:tcPr>
    </w:tblStylePr>
    <w:tblStylePr w:type="lastCol">
      <w:tblPr/>
      <w:tcPr>
        <w:tcBorders>
          <w:left w:val="single" w:color="FFFFFF" w:themeColor="light1" w:sz="4" w:space="0"/>
          <w:right w:val="single" w:color="7E7E7E"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Pr/>
    </w:tblStylePr>
    <w:tblStylePr w:type="nwCell">
      <w:tblPr/>
    </w:tblStylePr>
    <w:tblStylePr w:type="seCell">
      <w:tblPr/>
    </w:tblStylePr>
    <w:tblStylePr w:type="swCell">
      <w:tblPr/>
    </w:tblStylePr>
  </w:style>
  <w:style w:type="table" w:customStyle="1" w:styleId="121">
    <w:name w:val="List Table 5 Dark - Accent 1"/>
    <w:basedOn w:val="2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tblStylePr w:type="neCell">
      <w:tblPr/>
    </w:tblStylePr>
    <w:tblStylePr w:type="nwCell">
      <w:tblPr/>
    </w:tblStylePr>
    <w:tblStylePr w:type="seCell">
      <w:tblPr/>
    </w:tblStylePr>
    <w:tblStylePr w:type="swCell">
      <w:tblPr/>
    </w:tblStylePr>
  </w:style>
  <w:style w:type="table" w:customStyle="1" w:styleId="122">
    <w:name w:val="List Table 5 Dark - Accent 2"/>
    <w:basedOn w:val="2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bl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D99795" w:themeColor="accent2" w:themeTint="97" w:sz="32" w:space="0"/>
          <w:right w:val="single" w:color="FFFFFF" w:themeColor="light1" w:sz="4" w:space="0"/>
        </w:tcBorders>
      </w:tcPr>
    </w:tblStylePr>
    <w:tblStylePr w:type="lastCol">
      <w:tblPr/>
      <w:tcPr>
        <w:tcBorders>
          <w:left w:val="single" w:color="FFFFFF" w:themeColor="light1" w:sz="4" w:space="0"/>
          <w:right w:val="single" w:color="D997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Pr/>
    </w:tblStylePr>
    <w:tblStylePr w:type="nwCell">
      <w:tblPr/>
    </w:tblStylePr>
    <w:tblStylePr w:type="seCell">
      <w:tblPr/>
    </w:tblStylePr>
    <w:tblStylePr w:type="swCell">
      <w:tblPr/>
    </w:tblStylePr>
  </w:style>
  <w:style w:type="table" w:customStyle="1" w:styleId="123">
    <w:name w:val="List Table 5 Dark - Accent 3"/>
    <w:basedOn w:val="2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bl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C3D69C" w:themeColor="accent3" w:themeTint="98" w:sz="32" w:space="0"/>
          <w:right w:val="single" w:color="FFFFFF" w:themeColor="light1" w:sz="4" w:space="0"/>
        </w:tcBorders>
      </w:tcPr>
    </w:tblStylePr>
    <w:tblStylePr w:type="lastCol">
      <w:tblPr/>
      <w:tcPr>
        <w:tcBorders>
          <w:left w:val="single" w:color="FFFFFF" w:themeColor="light1" w:sz="4" w:space="0"/>
          <w:right w:val="single" w:color="C3D69C"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Pr/>
    </w:tblStylePr>
    <w:tblStylePr w:type="nwCell">
      <w:tblPr/>
    </w:tblStylePr>
    <w:tblStylePr w:type="seCell">
      <w:tblPr/>
    </w:tblStylePr>
    <w:tblStylePr w:type="swCell">
      <w:tblPr/>
    </w:tblStylePr>
  </w:style>
  <w:style w:type="table" w:customStyle="1" w:styleId="124">
    <w:name w:val="List Table 5 Dark - Accent 4"/>
    <w:basedOn w:val="2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Pr/>
    </w:tblStylePr>
    <w:tblStylePr w:type="nwCell">
      <w:tblPr/>
    </w:tblStylePr>
    <w:tblStylePr w:type="seCell">
      <w:tblPr/>
    </w:tblStylePr>
    <w:tblStylePr w:type="swCell">
      <w:tblPr/>
    </w:tblStylePr>
  </w:style>
  <w:style w:type="table" w:customStyle="1" w:styleId="125">
    <w:name w:val="List Table 5 Dark - Accent 5"/>
    <w:basedOn w:val="2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Pr/>
    </w:tblStylePr>
    <w:tblStylePr w:type="nwCell">
      <w:tblPr/>
    </w:tblStylePr>
    <w:tblStylePr w:type="seCell">
      <w:tblPr/>
    </w:tblStylePr>
    <w:tblStylePr w:type="swCell">
      <w:tblPr/>
    </w:tblStylePr>
  </w:style>
  <w:style w:type="table" w:customStyle="1" w:styleId="126">
    <w:name w:val="List Table 5 Dark - Accent 6"/>
    <w:basedOn w:val="2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Pr/>
    </w:tblStylePr>
    <w:tblStylePr w:type="nwCell">
      <w:tblPr/>
    </w:tblStylePr>
    <w:tblStylePr w:type="seCell">
      <w:tblPr/>
    </w:tblStylePr>
    <w:tblStylePr w:type="swCell">
      <w:tblPr/>
    </w:tblStylePr>
  </w:style>
  <w:style w:type="table" w:customStyle="1" w:styleId="127">
    <w:name w:val="List Table 6 Colorful"/>
    <w:basedOn w:val="2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blPr/>
      <w:tcPr>
        <w:tcBorders>
          <w:bottom w:val="single" w:color="7E7E7E" w:themeColor="text1" w:themeTint="80" w:sz="4" w:space="0"/>
        </w:tcBorders>
      </w:tcPr>
    </w:tblStylePr>
    <w:tblStylePr w:type="lastRow">
      <w:rPr>
        <w:b/>
        <w:color w:val="000000" w:themeColor="text1"/>
      </w:rPr>
      <w:tblPr/>
      <w:tcPr>
        <w:tcBorders>
          <w:top w:val="single" w:color="7E7E7E" w:themeColor="text1" w:themeTint="80"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000000" w:themeColor="text1"/>
        <w:sz w:val="22"/>
      </w:rPr>
      <w:tblPr/>
      <w:tcPr>
        <w:shd w:val="clear" w:color="BEBEBE" w:themeColor="text1" w:themeTint="40" w:fill="BEBEBE" w:themeFill="text1" w:themeFillTint="40"/>
      </w:tcPr>
    </w:tblStylePr>
    <w:tblStylePr w:type="band2Horz">
      <w:rPr>
        <w:rFonts w:ascii="Arial" w:hAnsi="Arial"/>
        <w:color w:val="000000" w:themeColor="text1"/>
        <w:sz w:val="22"/>
      </w:rPr>
      <w:tblPr/>
    </w:tblStylePr>
    <w:tblStylePr w:type="neCell">
      <w:tblPr/>
    </w:tblStylePr>
    <w:tblStylePr w:type="nwCell">
      <w:tblPr/>
    </w:tblStylePr>
    <w:tblStylePr w:type="seCell">
      <w:tblPr/>
    </w:tblStylePr>
    <w:tblStylePr w:type="swCell">
      <w:tblPr/>
    </w:tblStylePr>
  </w:style>
  <w:style w:type="table" w:customStyle="1" w:styleId="128">
    <w:name w:val="List Table 6 Colorful - Accent 1"/>
    <w:basedOn w:val="2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blPr/>
      <w:tcPr>
        <w:tcBorders>
          <w:bottom w:val="single" w:color="4F81BD" w:themeColor="accent1" w:sz="4" w:space="0"/>
        </w:tcBorders>
      </w:tcPr>
    </w:tblStylePr>
    <w:tblStylePr w:type="lastRow">
      <w:rPr>
        <w:b/>
        <w:color w:val="2A4B71" w:themeColor="accent1" w:themeShade="95"/>
      </w:rPr>
      <w:tblPr/>
      <w:tcPr>
        <w:tcBorders>
          <w:top w:val="single" w:color="4F81BD" w:themeColor="accent1" w:sz="4" w:space="0"/>
        </w:tcBorders>
      </w:tcPr>
    </w:tblStylePr>
    <w:tblStylePr w:type="firstCol">
      <w:rPr>
        <w:b/>
        <w:color w:val="2A4B71" w:themeColor="accent1" w:themeShade="95"/>
      </w:rPr>
      <w:tblPr/>
    </w:tblStylePr>
    <w:tblStylePr w:type="lastCol">
      <w:rPr>
        <w:b/>
        <w:color w:val="2A4B71" w:themeColor="accent1" w:themeShade="95"/>
      </w:rPr>
      <w:tbl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5"/>
        <w:sz w:val="22"/>
      </w:rPr>
      <w:tblPr/>
      <w:tcPr>
        <w:shd w:val="clear" w:color="D2DFEE" w:themeColor="accent1" w:themeTint="40" w:fill="D2DFEE" w:themeFill="accent1" w:themeFillTint="40"/>
      </w:tcPr>
    </w:tblStylePr>
    <w:tblStylePr w:type="band2Horz">
      <w:rPr>
        <w:rFonts w:ascii="Arial" w:hAnsi="Arial"/>
        <w:color w:val="2A4B71" w:themeColor="accent1" w:themeShade="95"/>
        <w:sz w:val="22"/>
      </w:rPr>
      <w:tblPr/>
    </w:tblStylePr>
    <w:tblStylePr w:type="neCell">
      <w:tblPr/>
    </w:tblStylePr>
    <w:tblStylePr w:type="nwCell">
      <w:tblPr/>
    </w:tblStylePr>
    <w:tblStylePr w:type="seCell">
      <w:tblPr/>
    </w:tblStylePr>
    <w:tblStylePr w:type="swCell">
      <w:tblPr/>
    </w:tblStylePr>
  </w:style>
  <w:style w:type="table" w:customStyle="1" w:styleId="129">
    <w:name w:val="List Table 6 Colorful - Accent 2"/>
    <w:basedOn w:val="2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blPr/>
      <w:tcPr>
        <w:tcBorders>
          <w:bottom w:val="single" w:color="D99795" w:themeColor="accent2" w:themeTint="97" w:sz="4" w:space="0"/>
        </w:tcBorders>
      </w:tcPr>
    </w:tblStylePr>
    <w:tblStylePr w:type="lastRow">
      <w:rPr>
        <w:b/>
        <w:color w:val="D99795" w:themeColor="accent2" w:themeShade="95" w:themeTint="97"/>
      </w:rPr>
      <w:tblPr/>
      <w:tcPr>
        <w:tcBorders>
          <w:top w:val="single" w:color="D99795" w:themeColor="accent2" w:themeTint="97" w:sz="4" w:space="0"/>
        </w:tcBorders>
      </w:tcPr>
    </w:tblStylePr>
    <w:tblStylePr w:type="firstCol">
      <w:rPr>
        <w:b/>
        <w:color w:val="D99795" w:themeColor="accent2" w:themeShade="95" w:themeTint="97"/>
      </w:rPr>
      <w:tblPr/>
    </w:tblStylePr>
    <w:tblStylePr w:type="lastCol">
      <w:rPr>
        <w:b/>
        <w:color w:val="D99795" w:themeColor="accent2" w:themeShade="95" w:themeTint="97"/>
      </w:rPr>
      <w:tbl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99795" w:themeColor="accent2" w:themeShade="95" w:themeTint="97"/>
        <w:sz w:val="22"/>
      </w:rPr>
      <w:tbl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130">
    <w:name w:val="List Table 6 Colorful - Accent 3"/>
    <w:basedOn w:val="28"/>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blPr/>
      <w:tcPr>
        <w:tcBorders>
          <w:bottom w:val="single" w:color="C3D69C" w:themeColor="accent3" w:themeTint="98" w:sz="4" w:space="0"/>
        </w:tcBorders>
      </w:tcPr>
    </w:tblStylePr>
    <w:tblStylePr w:type="lastRow">
      <w:rPr>
        <w:b/>
        <w:color w:val="C3D69C" w:themeColor="accent3" w:themeShade="95" w:themeTint="98"/>
      </w:rPr>
      <w:tblPr/>
      <w:tcPr>
        <w:tcBorders>
          <w:top w:val="single" w:color="C3D69C" w:themeColor="accent3" w:themeTint="98" w:sz="4" w:space="0"/>
        </w:tcBorders>
      </w:tcPr>
    </w:tblStylePr>
    <w:tblStylePr w:type="firstCol">
      <w:rPr>
        <w:b/>
        <w:color w:val="C3D69C" w:themeColor="accent3" w:themeShade="95" w:themeTint="98"/>
      </w:rPr>
      <w:tblPr/>
    </w:tblStylePr>
    <w:tblStylePr w:type="lastCol">
      <w:rPr>
        <w:b/>
        <w:color w:val="C3D69C" w:themeColor="accent3" w:themeShade="95" w:themeTint="98"/>
      </w:rPr>
      <w:tbl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C" w:themeColor="accent3" w:themeShade="95" w:themeTint="98"/>
        <w:sz w:val="22"/>
      </w:rPr>
      <w:tbl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31">
    <w:name w:val="List Table 6 Colorful - Accent 4"/>
    <w:basedOn w:val="2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blPr/>
      <w:tcPr>
        <w:tcBorders>
          <w:bottom w:val="single" w:color="B2A1C6" w:themeColor="accent4" w:themeTint="9A" w:sz="4" w:space="0"/>
        </w:tcBorders>
      </w:tcPr>
    </w:tblStylePr>
    <w:tblStylePr w:type="lastRow">
      <w:rPr>
        <w:b/>
        <w:color w:val="B2A1C6" w:themeColor="accent4" w:themeShade="95" w:themeTint="9A"/>
      </w:rPr>
      <w:tblPr/>
      <w:tcPr>
        <w:tcBorders>
          <w:top w:val="single" w:color="B2A1C6" w:themeColor="accent4" w:themeTint="9A" w:sz="4" w:space="0"/>
        </w:tcBorders>
      </w:tcPr>
    </w:tblStylePr>
    <w:tblStylePr w:type="firstCol">
      <w:rPr>
        <w:b/>
        <w:color w:val="B2A1C6" w:themeColor="accent4" w:themeShade="95" w:themeTint="9A"/>
      </w:rPr>
      <w:tblPr/>
    </w:tblStylePr>
    <w:tblStylePr w:type="lastCol">
      <w:rPr>
        <w:b/>
        <w:color w:val="B2A1C6" w:themeColor="accent4" w:themeShade="95" w:themeTint="9A"/>
      </w:rPr>
      <w:tbl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2A1C6" w:themeColor="accent4" w:themeShade="95" w:themeTint="9A"/>
        <w:sz w:val="22"/>
      </w:rPr>
      <w:tbl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32">
    <w:name w:val="List Table 6 Colorful - Accent 5"/>
    <w:basedOn w:val="2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blPr/>
      <w:tcPr>
        <w:tcBorders>
          <w:bottom w:val="single" w:color="92CCDC" w:themeColor="accent5" w:themeTint="9A" w:sz="4" w:space="0"/>
        </w:tcBorders>
      </w:tcPr>
    </w:tblStylePr>
    <w:tblStylePr w:type="lastRow">
      <w:rPr>
        <w:b/>
        <w:color w:val="92CCDC" w:themeColor="accent5" w:themeShade="95" w:themeTint="9A"/>
      </w:rPr>
      <w:tblPr/>
      <w:tcPr>
        <w:tcBorders>
          <w:top w:val="single" w:color="92CCDC" w:themeColor="accent5" w:themeTint="9A" w:sz="4" w:space="0"/>
        </w:tcBorders>
      </w:tcPr>
    </w:tblStylePr>
    <w:tblStylePr w:type="firstCol">
      <w:rPr>
        <w:b/>
        <w:color w:val="92CCDC" w:themeColor="accent5" w:themeShade="95" w:themeTint="9A"/>
      </w:rPr>
      <w:tblPr/>
    </w:tblStylePr>
    <w:tblStylePr w:type="lastCol">
      <w:rPr>
        <w:b/>
        <w:color w:val="92CCDC" w:themeColor="accent5" w:themeShade="95" w:themeTint="9A"/>
      </w:rPr>
      <w:tbl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2CCDC" w:themeColor="accent5" w:themeShade="95" w:themeTint="9A"/>
        <w:sz w:val="22"/>
      </w:rPr>
      <w:tbl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33">
    <w:name w:val="List Table 6 Colorful - Accent 6"/>
    <w:basedOn w:val="2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blPr/>
      <w:tcPr>
        <w:tcBorders>
          <w:bottom w:val="single" w:color="FAC090" w:themeColor="accent6" w:themeTint="98" w:sz="4" w:space="0"/>
        </w:tcBorders>
      </w:tcPr>
    </w:tblStylePr>
    <w:tblStylePr w:type="lastRow">
      <w:rPr>
        <w:b/>
        <w:color w:val="FAC090" w:themeColor="accent6" w:themeShade="95" w:themeTint="98"/>
      </w:rPr>
      <w:tblPr/>
      <w:tcPr>
        <w:tcBorders>
          <w:top w:val="single" w:color="FAC090" w:themeColor="accent6" w:themeTint="98" w:sz="4" w:space="0"/>
        </w:tcBorders>
      </w:tcPr>
    </w:tblStylePr>
    <w:tblStylePr w:type="firstCol">
      <w:rPr>
        <w:b/>
        <w:color w:val="FAC090" w:themeColor="accent6" w:themeShade="95" w:themeTint="98"/>
      </w:rPr>
      <w:tblPr/>
    </w:tblStylePr>
    <w:tblStylePr w:type="lastCol">
      <w:rPr>
        <w:b/>
        <w:color w:val="FAC090" w:themeColor="accent6" w:themeShade="95" w:themeTint="98"/>
      </w:rPr>
      <w:tbl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Shade="95" w:themeTint="98"/>
        <w:sz w:val="22"/>
      </w:rPr>
      <w:tbl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34">
    <w:name w:val="List Table 7 Colorful"/>
    <w:basedOn w:val="28"/>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blPr/>
      <w:tcPr>
        <w:tcBorders>
          <w:top w:val="nil"/>
          <w:left w:val="single" w:color="7E7E7E" w:themeColor="text1" w:themeTint="80" w:sz="4" w:space="0"/>
          <w:bottom w:val="nil"/>
          <w:right w:val="nil"/>
        </w:tcBorders>
        <w:shd w:val="clear" w:color="FFFFFF" w:fill="auto"/>
      </w:tc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7E7E7E" w:themeColor="text1" w:themeShade="95" w:themeTint="80"/>
        <w:sz w:val="22"/>
      </w:rPr>
      <w:tblPr/>
      <w:tcPr>
        <w:shd w:val="clear" w:color="BEBEBE" w:themeColor="text1" w:themeTint="40" w:fill="BEBEBE" w:themeFill="text1" w:themeFillTint="40"/>
      </w:tcPr>
    </w:tblStylePr>
    <w:tblStylePr w:type="band2Horz">
      <w:rPr>
        <w:rFonts w:ascii="Arial" w:hAnsi="Arial"/>
        <w:color w:val="7E7E7E" w:themeColor="tex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135">
    <w:name w:val="List Table 7 Colorful - Accent 1"/>
    <w:basedOn w:val="28"/>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bl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bl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bl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blPr/>
      <w:tcPr>
        <w:tcBorders>
          <w:top w:val="nil"/>
          <w:left w:val="single" w:color="4F81BD" w:themeColor="accent1" w:sz="4" w:space="0"/>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5"/>
        <w:sz w:val="22"/>
      </w:rPr>
      <w:tblPr/>
      <w:tcPr>
        <w:shd w:val="clear" w:color="D2DFEE" w:themeColor="accent1" w:themeTint="40" w:fill="D2DFEE" w:themeFill="accent1" w:themeFillTint="40"/>
      </w:tcPr>
    </w:tblStylePr>
    <w:tblStylePr w:type="band2Horz">
      <w:rPr>
        <w:rFonts w:ascii="Arial" w:hAnsi="Arial"/>
        <w:color w:val="2A4B71" w:themeColor="accent1" w:themeShade="95"/>
        <w:sz w:val="22"/>
      </w:rPr>
      <w:tblPr/>
    </w:tblStylePr>
    <w:tblStylePr w:type="neCell">
      <w:tblPr/>
    </w:tblStylePr>
    <w:tblStylePr w:type="nwCell">
      <w:tblPr/>
    </w:tblStylePr>
    <w:tblStylePr w:type="seCell">
      <w:tblPr/>
    </w:tblStylePr>
    <w:tblStylePr w:type="swCell">
      <w:tblPr/>
    </w:tblStylePr>
  </w:style>
  <w:style w:type="table" w:customStyle="1" w:styleId="136">
    <w:name w:val="List Table 7 Colorful - Accent 2"/>
    <w:basedOn w:val="28"/>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blPr/>
      <w:tcPr>
        <w:tcBorders>
          <w:top w:val="nil"/>
          <w:left w:val="single" w:color="D99795" w:themeColor="accent2" w:themeTint="97" w:sz="4" w:space="0"/>
          <w:bottom w:val="nil"/>
          <w:right w:val="nil"/>
        </w:tcBorders>
        <w:shd w:val="clear" w:color="FFFFFF" w:fill="auto"/>
      </w:tc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99795" w:themeColor="accent2" w:themeShade="95" w:themeTint="97"/>
        <w:sz w:val="22"/>
      </w:rPr>
      <w:tbl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137">
    <w:name w:val="List Table 7 Colorful - Accent 3"/>
    <w:basedOn w:val="28"/>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bl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bl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bl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blPr/>
      <w:tcPr>
        <w:tcBorders>
          <w:top w:val="nil"/>
          <w:left w:val="single" w:color="C3D69C" w:themeColor="accent3" w:themeTint="98" w:sz="4" w:space="0"/>
          <w:bottom w:val="nil"/>
          <w:right w:val="nil"/>
        </w:tcBorders>
        <w:shd w:val="clear" w:color="FFFFFF" w:fill="auto"/>
      </w:tc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C" w:themeColor="accent3" w:themeShade="95" w:themeTint="98"/>
        <w:sz w:val="22"/>
      </w:rPr>
      <w:tbl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38">
    <w:name w:val="List Table 7 Colorful - Accent 4"/>
    <w:basedOn w:val="28"/>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blPr/>
      <w:tcPr>
        <w:tcBorders>
          <w:top w:val="nil"/>
          <w:left w:val="single" w:color="B2A1C6" w:themeColor="accent4" w:themeTint="9A" w:sz="4" w:space="0"/>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2A1C6" w:themeColor="accent4" w:themeShade="95" w:themeTint="9A"/>
        <w:sz w:val="22"/>
      </w:rPr>
      <w:tbl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39">
    <w:name w:val="List Table 7 Colorful - Accent 5"/>
    <w:basedOn w:val="28"/>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bl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bl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bl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blPr/>
      <w:tcPr>
        <w:tcBorders>
          <w:top w:val="nil"/>
          <w:left w:val="single" w:color="92CCDC" w:themeColor="accent5" w:themeTint="9A" w:sz="4" w:space="0"/>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2CCDC" w:themeColor="accent5" w:themeShade="95" w:themeTint="9A"/>
        <w:sz w:val="22"/>
      </w:rPr>
      <w:tbl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40">
    <w:name w:val="List Table 7 Colorful - Accent 6"/>
    <w:basedOn w:val="2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bl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bl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bl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blPr/>
      <w:tcPr>
        <w:tcBorders>
          <w:top w:val="nil"/>
          <w:left w:val="single" w:color="FAC090" w:themeColor="accent6" w:themeTint="98" w:sz="4" w:space="0"/>
          <w:bottom w:val="nil"/>
          <w:right w:val="nil"/>
        </w:tcBorders>
        <w:shd w:val="clear" w:color="FFFFFF" w:fill="auto"/>
      </w:tc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Shade="95" w:themeTint="98"/>
        <w:sz w:val="22"/>
      </w:rPr>
      <w:tbl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41">
    <w:name w:val="Lined - Accent"/>
    <w:basedOn w:val="28"/>
    <w:uiPriority w:val="99"/>
    <w:pPr>
      <w:spacing w:after="0" w:line="240" w:lineRule="auto"/>
    </w:pPr>
    <w:rPr>
      <w:color w:val="404040"/>
    </w:rP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42">
    <w:name w:val="Lined - Accent 1"/>
    <w:basedOn w:val="28"/>
    <w:qFormat/>
    <w:uiPriority w:val="99"/>
    <w:pPr>
      <w:spacing w:after="0" w:line="240" w:lineRule="auto"/>
    </w:pPr>
    <w:rPr>
      <w:color w:val="404040"/>
    </w:rPr>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43">
    <w:name w:val="Lined - Accent 2"/>
    <w:basedOn w:val="28"/>
    <w:qFormat/>
    <w:uiPriority w:val="99"/>
    <w:pPr>
      <w:spacing w:after="0" w:line="240" w:lineRule="auto"/>
    </w:pPr>
    <w:rPr>
      <w:color w:val="404040"/>
    </w:rPr>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44">
    <w:name w:val="Lined - Accent 3"/>
    <w:basedOn w:val="28"/>
    <w:uiPriority w:val="99"/>
    <w:pPr>
      <w:spacing w:after="0" w:line="240" w:lineRule="auto"/>
    </w:pPr>
    <w:rPr>
      <w:color w:val="404040"/>
    </w:rPr>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45">
    <w:name w:val="Lined - Accent 4"/>
    <w:basedOn w:val="28"/>
    <w:qFormat/>
    <w:uiPriority w:val="99"/>
    <w:pPr>
      <w:spacing w:after="0" w:line="240" w:lineRule="auto"/>
    </w:pPr>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46">
    <w:name w:val="Lined - Accent 5"/>
    <w:basedOn w:val="28"/>
    <w:qFormat/>
    <w:uiPriority w:val="99"/>
    <w:pPr>
      <w:spacing w:after="0" w:line="240" w:lineRule="auto"/>
    </w:pPr>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47">
    <w:name w:val="Lined - Accent 6"/>
    <w:basedOn w:val="28"/>
    <w:uiPriority w:val="99"/>
    <w:pPr>
      <w:spacing w:after="0" w:line="240" w:lineRule="auto"/>
    </w:pPr>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48">
    <w:name w:val="Bordered &amp; Lined - Accent"/>
    <w:basedOn w:val="2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49">
    <w:name w:val="Bordered &amp; Lined - Accent 1"/>
    <w:basedOn w:val="2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50">
    <w:name w:val="Bordered &amp; Lined - Accent 2"/>
    <w:basedOn w:val="28"/>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51">
    <w:name w:val="Bordered &amp; Lined - Accent 3"/>
    <w:basedOn w:val="2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52">
    <w:name w:val="Bordered &amp; Lined - Accent 4"/>
    <w:basedOn w:val="2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53">
    <w:name w:val="Bordered &amp; Lined - Accent 5"/>
    <w:basedOn w:val="28"/>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54">
    <w:name w:val="Bordered &amp; Lined - Accent 6"/>
    <w:basedOn w:val="2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55">
    <w:name w:val="Bordered"/>
    <w:basedOn w:val="2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blPr/>
      <w:tcPr>
        <w:tcBorders>
          <w:bottom w:val="single" w:color="7E7E7E" w:themeColor="text1" w:themeTint="80" w:sz="12" w:space="0"/>
        </w:tcBorders>
      </w:tcPr>
    </w:tblStylePr>
    <w:tblStylePr w:type="lastRow">
      <w:rPr>
        <w:rFonts w:ascii="Arial" w:hAnsi="Arial"/>
        <w:color w:val="404040"/>
        <w:sz w:val="22"/>
      </w:rPr>
      <w:tblPr/>
      <w:tcPr>
        <w:tcBorders>
          <w:top w:val="single" w:color="7E7E7E" w:themeColor="text1" w:themeTint="80"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7E7E7E" w:themeColor="text1" w:themeTint="80"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6">
    <w:name w:val="Bordered - Accent 1"/>
    <w:basedOn w:val="28"/>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4F81BD" w:themeColor="accent1"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7">
    <w:name w:val="Bordered - Accent 2"/>
    <w:basedOn w:val="2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blPr/>
      <w:tcPr>
        <w:tcBorders>
          <w:bottom w:val="single" w:color="D99795" w:themeColor="accent2" w:themeTint="97" w:sz="12" w:space="0"/>
        </w:tcBorders>
      </w:tcPr>
    </w:tblStylePr>
    <w:tblStylePr w:type="lastRow">
      <w:rPr>
        <w:rFonts w:ascii="Arial" w:hAnsi="Arial"/>
        <w:color w:val="404040"/>
        <w:sz w:val="22"/>
      </w:rPr>
      <w:tblPr/>
      <w:tcPr>
        <w:tcBorders>
          <w:top w:val="single" w:color="D99795" w:themeColor="accent2" w:themeTint="97"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D99795" w:themeColor="accent2" w:themeTint="97"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8">
    <w:name w:val="Bordered - Accent 3"/>
    <w:basedOn w:val="2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C" w:themeColor="accent3" w:themeTint="98" w:sz="12" w:space="0"/>
        </w:tcBorders>
      </w:tcPr>
    </w:tblStylePr>
    <w:tblStylePr w:type="lastRow">
      <w:rPr>
        <w:rFonts w:ascii="Arial" w:hAnsi="Arial"/>
        <w:color w:val="404040"/>
        <w:sz w:val="22"/>
      </w:rPr>
      <w:tblPr/>
      <w:tcPr>
        <w:tcBorders>
          <w:top w:val="single" w:color="C3D69C" w:themeColor="accent3"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C3D69C" w:themeColor="accent3"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9">
    <w:name w:val="Bordered - Accent 4"/>
    <w:basedOn w:val="28"/>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B2A1C6" w:themeColor="accent4"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0">
    <w:name w:val="Bordered - Accent 5"/>
    <w:basedOn w:val="2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92CCDC" w:themeColor="accent5"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61">
    <w:name w:val="Bordered - Accent 6"/>
    <w:basedOn w:val="2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AC090" w:themeColor="accent6"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162">
    <w:name w:val="Heading 1 Char"/>
    <w:basedOn w:val="30"/>
    <w:link w:val="2"/>
    <w:qFormat/>
    <w:uiPriority w:val="9"/>
    <w:rPr>
      <w:rFonts w:ascii="Arial" w:hAnsi="Arial" w:eastAsia="Arial" w:cs="Arial"/>
      <w:color w:val="366091" w:themeColor="accent1" w:themeShade="BF"/>
      <w:sz w:val="40"/>
      <w:szCs w:val="40"/>
    </w:rPr>
  </w:style>
  <w:style w:type="character" w:customStyle="1" w:styleId="163">
    <w:name w:val="Heading 2 Char"/>
    <w:basedOn w:val="30"/>
    <w:link w:val="3"/>
    <w:uiPriority w:val="9"/>
    <w:rPr>
      <w:rFonts w:ascii="Arial" w:hAnsi="Arial" w:eastAsia="Arial" w:cs="Arial"/>
      <w:color w:val="366091" w:themeColor="accent1" w:themeShade="BF"/>
      <w:sz w:val="32"/>
      <w:szCs w:val="32"/>
    </w:rPr>
  </w:style>
  <w:style w:type="character" w:customStyle="1" w:styleId="164">
    <w:name w:val="Heading 3 Char"/>
    <w:basedOn w:val="30"/>
    <w:link w:val="4"/>
    <w:uiPriority w:val="9"/>
    <w:rPr>
      <w:rFonts w:ascii="Arial" w:hAnsi="Arial" w:eastAsia="Arial" w:cs="Arial"/>
      <w:color w:val="366091" w:themeColor="accent1" w:themeShade="BF"/>
      <w:sz w:val="28"/>
      <w:szCs w:val="28"/>
    </w:rPr>
  </w:style>
  <w:style w:type="character" w:customStyle="1" w:styleId="165">
    <w:name w:val="Heading 4 Char"/>
    <w:basedOn w:val="30"/>
    <w:link w:val="5"/>
    <w:uiPriority w:val="9"/>
    <w:rPr>
      <w:rFonts w:ascii="Arial" w:hAnsi="Arial" w:eastAsia="Arial" w:cs="Arial"/>
      <w:i/>
      <w:iCs/>
      <w:color w:val="366091" w:themeColor="accent1" w:themeShade="BF"/>
    </w:rPr>
  </w:style>
  <w:style w:type="character" w:customStyle="1" w:styleId="166">
    <w:name w:val="Heading 5 Char"/>
    <w:basedOn w:val="30"/>
    <w:link w:val="6"/>
    <w:uiPriority w:val="9"/>
    <w:rPr>
      <w:rFonts w:ascii="Arial" w:hAnsi="Arial" w:eastAsia="Arial" w:cs="Arial"/>
      <w:color w:val="366091" w:themeColor="accent1" w:themeShade="BF"/>
    </w:rPr>
  </w:style>
  <w:style w:type="character" w:customStyle="1" w:styleId="167">
    <w:name w:val="Heading 6 Char"/>
    <w:basedOn w:val="30"/>
    <w:link w:val="7"/>
    <w:qFormat/>
    <w:uiPriority w:val="9"/>
    <w:rPr>
      <w:rFonts w:ascii="Arial" w:hAnsi="Arial" w:eastAsia="Arial" w:cs="Arial"/>
      <w:i/>
      <w:iCs/>
      <w:color w:val="585858" w:themeColor="text1" w:themeTint="A6"/>
    </w:rPr>
  </w:style>
  <w:style w:type="character" w:customStyle="1" w:styleId="168">
    <w:name w:val="Heading 7 Char"/>
    <w:basedOn w:val="30"/>
    <w:link w:val="8"/>
    <w:qFormat/>
    <w:uiPriority w:val="9"/>
    <w:rPr>
      <w:rFonts w:ascii="Arial" w:hAnsi="Arial" w:eastAsia="Arial" w:cs="Arial"/>
      <w:color w:val="585858" w:themeColor="text1" w:themeTint="A6"/>
    </w:rPr>
  </w:style>
  <w:style w:type="character" w:customStyle="1" w:styleId="169">
    <w:name w:val="Heading 8 Char"/>
    <w:basedOn w:val="30"/>
    <w:link w:val="9"/>
    <w:uiPriority w:val="9"/>
    <w:rPr>
      <w:rFonts w:ascii="Arial" w:hAnsi="Arial" w:eastAsia="Arial" w:cs="Arial"/>
      <w:i/>
      <w:iCs/>
      <w:color w:val="262626" w:themeColor="text1" w:themeTint="D8"/>
    </w:rPr>
  </w:style>
  <w:style w:type="character" w:customStyle="1" w:styleId="170">
    <w:name w:val="Heading 9 Char"/>
    <w:basedOn w:val="30"/>
    <w:link w:val="10"/>
    <w:qFormat/>
    <w:uiPriority w:val="9"/>
    <w:rPr>
      <w:rFonts w:ascii="Arial" w:hAnsi="Arial" w:eastAsia="Arial" w:cs="Arial"/>
      <w:i/>
      <w:iCs/>
      <w:color w:val="262626" w:themeColor="text1" w:themeTint="D8"/>
    </w:rPr>
  </w:style>
  <w:style w:type="character" w:customStyle="1" w:styleId="171">
    <w:name w:val="Title Char"/>
    <w:basedOn w:val="30"/>
    <w:link w:val="27"/>
    <w:qFormat/>
    <w:uiPriority w:val="10"/>
    <w:rPr>
      <w:rFonts w:ascii="Arial" w:hAnsi="Arial" w:eastAsia="Arial" w:cs="Arial"/>
      <w:spacing w:val="-10"/>
      <w:sz w:val="56"/>
      <w:szCs w:val="56"/>
    </w:rPr>
  </w:style>
  <w:style w:type="character" w:customStyle="1" w:styleId="172">
    <w:name w:val="Subtitle Char"/>
    <w:basedOn w:val="30"/>
    <w:link w:val="21"/>
    <w:qFormat/>
    <w:uiPriority w:val="11"/>
    <w:rPr>
      <w:color w:val="585858" w:themeColor="text1" w:themeTint="A6"/>
      <w:spacing w:val="15"/>
      <w:sz w:val="28"/>
      <w:szCs w:val="28"/>
    </w:rPr>
  </w:style>
  <w:style w:type="paragraph" w:styleId="173">
    <w:name w:val="Quote"/>
    <w:basedOn w:val="1"/>
    <w:next w:val="1"/>
    <w:link w:val="174"/>
    <w:qFormat/>
    <w:uiPriority w:val="29"/>
    <w:pPr>
      <w:spacing w:before="160"/>
      <w:jc w:val="center"/>
    </w:pPr>
    <w:rPr>
      <w:i/>
      <w:iCs/>
      <w:color w:val="3F3F3F" w:themeColor="text1" w:themeTint="BF"/>
    </w:rPr>
  </w:style>
  <w:style w:type="character" w:customStyle="1" w:styleId="174">
    <w:name w:val="Quote Char"/>
    <w:basedOn w:val="30"/>
    <w:link w:val="173"/>
    <w:uiPriority w:val="29"/>
    <w:rPr>
      <w:i/>
      <w:iCs/>
      <w:color w:val="3F3F3F" w:themeColor="text1" w:themeTint="BF"/>
    </w:rPr>
  </w:style>
  <w:style w:type="paragraph" w:styleId="175">
    <w:name w:val="List Paragraph"/>
    <w:basedOn w:val="1"/>
    <w:qFormat/>
    <w:uiPriority w:val="34"/>
    <w:pPr>
      <w:ind w:left="720"/>
      <w:contextualSpacing/>
    </w:pPr>
  </w:style>
  <w:style w:type="character" w:customStyle="1" w:styleId="176">
    <w:name w:val="Intense Emphasis"/>
    <w:basedOn w:val="30"/>
    <w:qFormat/>
    <w:uiPriority w:val="21"/>
    <w:rPr>
      <w:i/>
      <w:iCs/>
      <w:color w:val="366091" w:themeColor="accent1" w:themeShade="BF"/>
    </w:rPr>
  </w:style>
  <w:style w:type="paragraph" w:styleId="177">
    <w:name w:val="Intense Quote"/>
    <w:basedOn w:val="1"/>
    <w:next w:val="1"/>
    <w:link w:val="178"/>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66091" w:themeColor="accent1" w:themeShade="BF"/>
    </w:rPr>
  </w:style>
  <w:style w:type="character" w:customStyle="1" w:styleId="178">
    <w:name w:val="Intense Quote Char"/>
    <w:basedOn w:val="30"/>
    <w:link w:val="177"/>
    <w:qFormat/>
    <w:uiPriority w:val="30"/>
    <w:rPr>
      <w:i/>
      <w:iCs/>
      <w:color w:val="366091" w:themeColor="accent1" w:themeShade="BF"/>
    </w:rPr>
  </w:style>
  <w:style w:type="character" w:customStyle="1" w:styleId="179">
    <w:name w:val="Intense Reference"/>
    <w:basedOn w:val="30"/>
    <w:qFormat/>
    <w:uiPriority w:val="32"/>
    <w:rPr>
      <w:b/>
      <w:bCs/>
      <w:smallCaps/>
      <w:color w:val="366091" w:themeColor="accent1" w:themeShade="BF"/>
      <w:spacing w:val="5"/>
    </w:rPr>
  </w:style>
  <w:style w:type="paragraph" w:styleId="180">
    <w:name w:val="No Spacing"/>
    <w:basedOn w:val="1"/>
    <w:qFormat/>
    <w:uiPriority w:val="1"/>
    <w:pPr>
      <w:spacing w:after="0" w:line="240" w:lineRule="auto"/>
    </w:pPr>
  </w:style>
  <w:style w:type="character" w:customStyle="1" w:styleId="181">
    <w:name w:val="Subtle Emphasis"/>
    <w:basedOn w:val="30"/>
    <w:qFormat/>
    <w:uiPriority w:val="19"/>
    <w:rPr>
      <w:i/>
      <w:iCs/>
      <w:color w:val="3F3F3F" w:themeColor="text1" w:themeTint="BF"/>
    </w:rPr>
  </w:style>
  <w:style w:type="character" w:customStyle="1" w:styleId="182">
    <w:name w:val="Subtle Reference"/>
    <w:basedOn w:val="30"/>
    <w:qFormat/>
    <w:uiPriority w:val="31"/>
    <w:rPr>
      <w:smallCaps/>
      <w:color w:val="595959" w:themeColor="text1" w:themeTint="A5"/>
    </w:rPr>
  </w:style>
  <w:style w:type="character" w:customStyle="1" w:styleId="183">
    <w:name w:val="Book Title"/>
    <w:basedOn w:val="30"/>
    <w:qFormat/>
    <w:uiPriority w:val="33"/>
    <w:rPr>
      <w:b/>
      <w:bCs/>
      <w:i/>
      <w:iCs/>
      <w:spacing w:val="5"/>
    </w:rPr>
  </w:style>
  <w:style w:type="character" w:customStyle="1" w:styleId="184">
    <w:name w:val="Header Char"/>
    <w:basedOn w:val="30"/>
    <w:link w:val="18"/>
    <w:uiPriority w:val="99"/>
  </w:style>
  <w:style w:type="character" w:customStyle="1" w:styleId="185">
    <w:name w:val="Footer Char"/>
    <w:basedOn w:val="30"/>
    <w:link w:val="17"/>
    <w:qFormat/>
    <w:uiPriority w:val="99"/>
  </w:style>
  <w:style w:type="character" w:customStyle="1" w:styleId="186">
    <w:name w:val="Footnote Text Char"/>
    <w:basedOn w:val="30"/>
    <w:link w:val="22"/>
    <w:semiHidden/>
    <w:qFormat/>
    <w:uiPriority w:val="99"/>
    <w:rPr>
      <w:sz w:val="20"/>
      <w:szCs w:val="20"/>
    </w:rPr>
  </w:style>
  <w:style w:type="character" w:customStyle="1" w:styleId="187">
    <w:name w:val="Endnote Text Char"/>
    <w:basedOn w:val="30"/>
    <w:link w:val="16"/>
    <w:semiHidden/>
    <w:uiPriority w:val="99"/>
    <w:rPr>
      <w:sz w:val="20"/>
      <w:szCs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qFormat/>
    <w:uiPriority w:val="0"/>
    <w:pPr>
      <w:keepNext/>
      <w:keepLines/>
      <w:spacing w:before="340" w:beforeAutospacing="0" w:after="330" w:afterAutospacing="0" w:line="576" w:lineRule="auto"/>
      <w:outlineLvl w:val="0"/>
    </w:pPr>
    <w:rPr>
      <w:b/>
      <w:sz w:val="44"/>
    </w:rPr>
  </w:style>
  <w:style w:type="paragraph" w:customStyle="1" w:styleId="190">
    <w:name w:val="标题 21"/>
    <w:basedOn w:val="1"/>
    <w:next w:val="1"/>
    <w:qFormat/>
    <w:uiPriority w:val="0"/>
    <w:pPr>
      <w:spacing w:line="0" w:lineRule="atLeast"/>
      <w:jc w:val="center"/>
      <w:outlineLvl w:val="1"/>
    </w:pPr>
    <w:rPr>
      <w:sz w:val="28"/>
    </w:rPr>
  </w:style>
  <w:style w:type="paragraph" w:customStyle="1" w:styleId="191">
    <w:name w:val="标题 31"/>
    <w:basedOn w:val="1"/>
    <w:next w:val="1"/>
    <w:unhideWhenUsed/>
    <w:qFormat/>
    <w:uiPriority w:val="0"/>
    <w:pPr>
      <w:pBdr>
        <w:top w:val="none" w:color="000000" w:sz="0" w:space="0"/>
        <w:left w:val="none" w:color="000000" w:sz="0" w:space="0"/>
        <w:bottom w:val="none" w:color="000000" w:sz="0" w:space="0"/>
        <w:right w:val="none" w:color="000000" w:sz="0" w:space="0"/>
      </w:pBdr>
      <w:spacing w:before="0" w:beforeAutospacing="0" w:after="0" w:afterAutospacing="0"/>
      <w:ind w:left="0" w:right="0"/>
      <w:jc w:val="left"/>
      <w:outlineLvl w:val="2"/>
    </w:pPr>
    <w:rPr>
      <w:rFonts w:hint="eastAsia" w:ascii="宋体" w:hAnsi="宋体" w:eastAsia="宋体" w:cs="宋体"/>
      <w:b/>
      <w:bCs/>
      <w:sz w:val="27"/>
      <w:szCs w:val="27"/>
      <w:lang w:val="en-US" w:eastAsia="zh-CN" w:bidi="ar"/>
    </w:rPr>
  </w:style>
  <w:style w:type="character" w:customStyle="1" w:styleId="192">
    <w:name w:val="默认段落字体1"/>
    <w:link w:val="1"/>
    <w:semiHidden/>
    <w:qFormat/>
    <w:uiPriority w:val="0"/>
  </w:style>
  <w:style w:type="table" w:customStyle="1" w:styleId="193">
    <w:name w:val="普通表格1"/>
    <w:semiHidden/>
    <w:qFormat/>
    <w:uiPriority w:val="0"/>
    <w:tblPr>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customStyle="1" w:styleId="194">
    <w:name w:val="引文目录1"/>
    <w:basedOn w:val="1"/>
    <w:next w:val="1"/>
    <w:qFormat/>
    <w:uiPriority w:val="0"/>
    <w:pPr>
      <w:spacing w:line="360" w:lineRule="auto"/>
      <w:ind w:left="420"/>
      <w:jc w:val="left"/>
    </w:pPr>
  </w:style>
  <w:style w:type="paragraph" w:customStyle="1" w:styleId="195">
    <w:name w:val="正文文本1"/>
    <w:basedOn w:val="1"/>
    <w:next w:val="1"/>
    <w:link w:val="196"/>
    <w:qFormat/>
    <w:uiPriority w:val="99"/>
    <w:pPr>
      <w:spacing w:after="120"/>
    </w:pPr>
  </w:style>
  <w:style w:type="character" w:customStyle="1" w:styleId="196">
    <w:name w:val="正文文本 Char"/>
    <w:basedOn w:val="192"/>
    <w:link w:val="195"/>
    <w:qFormat/>
    <w:uiPriority w:val="99"/>
    <w:rPr>
      <w:rFonts w:ascii="仿宋_GB2312" w:hAnsi="仿宋_GB2312" w:eastAsia="仿宋_GB2312"/>
      <w:sz w:val="32"/>
      <w:szCs w:val="24"/>
    </w:rPr>
  </w:style>
  <w:style w:type="paragraph" w:customStyle="1" w:styleId="197">
    <w:name w:val="正文文本缩进1"/>
    <w:basedOn w:val="1"/>
    <w:next w:val="1"/>
    <w:unhideWhenUsed/>
    <w:qFormat/>
    <w:uiPriority w:val="99"/>
    <w:pPr>
      <w:spacing w:after="120" w:line="300" w:lineRule="auto"/>
      <w:ind w:left="420"/>
    </w:pPr>
    <w:rPr>
      <w:rFonts w:ascii="Times New Roman" w:hAnsi="Times New Roman" w:cs="Times New Roman"/>
      <w:szCs w:val="21"/>
    </w:rPr>
  </w:style>
  <w:style w:type="paragraph" w:customStyle="1" w:styleId="198">
    <w:name w:val="批注框文本1"/>
    <w:basedOn w:val="1"/>
    <w:link w:val="199"/>
    <w:uiPriority w:val="0"/>
    <w:rPr>
      <w:sz w:val="18"/>
      <w:szCs w:val="18"/>
    </w:rPr>
  </w:style>
  <w:style w:type="character" w:customStyle="1" w:styleId="199">
    <w:name w:val="批注框文本 Char"/>
    <w:basedOn w:val="192"/>
    <w:link w:val="198"/>
    <w:qFormat/>
    <w:uiPriority w:val="0"/>
    <w:rPr>
      <w:rFonts w:ascii="仿宋_GB2312" w:hAnsi="仿宋_GB2312" w:eastAsia="仿宋_GB2312"/>
      <w:sz w:val="18"/>
      <w:szCs w:val="18"/>
    </w:rPr>
  </w:style>
  <w:style w:type="paragraph" w:customStyle="1" w:styleId="200">
    <w:name w:val="页脚1"/>
    <w:basedOn w:val="1"/>
    <w:link w:val="201"/>
    <w:qFormat/>
    <w:uiPriority w:val="99"/>
    <w:pPr>
      <w:tabs>
        <w:tab w:val="center" w:pos="4153"/>
        <w:tab w:val="right" w:pos="8306"/>
      </w:tabs>
      <w:jc w:val="left"/>
    </w:pPr>
    <w:rPr>
      <w:sz w:val="18"/>
      <w:szCs w:val="18"/>
    </w:rPr>
  </w:style>
  <w:style w:type="character" w:customStyle="1" w:styleId="201">
    <w:name w:val="页脚 Char"/>
    <w:basedOn w:val="192"/>
    <w:link w:val="200"/>
    <w:uiPriority w:val="99"/>
    <w:rPr>
      <w:rFonts w:ascii="仿宋_GB2312" w:hAnsi="仿宋_GB2312" w:eastAsia="仿宋_GB2312"/>
      <w:sz w:val="18"/>
      <w:szCs w:val="18"/>
    </w:rPr>
  </w:style>
  <w:style w:type="paragraph" w:customStyle="1" w:styleId="202">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203">
    <w:name w:val="HTML 预设格式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sz w:val="24"/>
      <w:szCs w:val="24"/>
      <w:lang w:val="en-US" w:eastAsia="zh-CN" w:bidi="ar"/>
    </w:rPr>
  </w:style>
  <w:style w:type="paragraph" w:customStyle="1" w:styleId="204">
    <w:name w:val="普通(网站)1"/>
    <w:basedOn w:val="1"/>
    <w:uiPriority w:val="0"/>
    <w:pPr>
      <w:spacing w:before="100" w:beforeAutospacing="1" w:after="100" w:afterAutospacing="1"/>
      <w:ind w:left="0" w:right="0"/>
      <w:jc w:val="left"/>
    </w:pPr>
    <w:rPr>
      <w:sz w:val="24"/>
      <w:lang w:val="en-US" w:eastAsia="zh-CN" w:bidi="ar"/>
    </w:rPr>
  </w:style>
  <w:style w:type="paragraph" w:customStyle="1" w:styleId="205">
    <w:name w:val="标题1"/>
    <w:basedOn w:val="1"/>
    <w:next w:val="1"/>
    <w:qFormat/>
    <w:uiPriority w:val="0"/>
    <w:pPr>
      <w:spacing w:before="240" w:after="60"/>
      <w:jc w:val="center"/>
      <w:outlineLvl w:val="0"/>
    </w:pPr>
    <w:rPr>
      <w:rFonts w:ascii="Arial" w:hAnsi="Arial"/>
      <w:b/>
      <w:sz w:val="32"/>
    </w:rPr>
  </w:style>
  <w:style w:type="paragraph" w:customStyle="1" w:styleId="206">
    <w:name w:val="正文首行缩进1"/>
    <w:basedOn w:val="195"/>
    <w:link w:val="207"/>
    <w:qFormat/>
    <w:uiPriority w:val="0"/>
    <w:pPr>
      <w:ind w:firstLine="420"/>
    </w:pPr>
  </w:style>
  <w:style w:type="character" w:customStyle="1" w:styleId="207">
    <w:name w:val="正文首行缩进 Char"/>
    <w:basedOn w:val="196"/>
    <w:link w:val="206"/>
    <w:uiPriority w:val="0"/>
  </w:style>
  <w:style w:type="paragraph" w:customStyle="1" w:styleId="208">
    <w:name w:val="正文首行缩进 21"/>
    <w:basedOn w:val="197"/>
    <w:next w:val="1"/>
    <w:unhideWhenUsed/>
    <w:qFormat/>
    <w:uiPriority w:val="99"/>
    <w:pPr>
      <w:ind w:firstLine="420"/>
    </w:pPr>
    <w:rPr>
      <w:rFonts w:ascii="Calibri" w:hAnsi="Calibri" w:eastAsia="宋体"/>
      <w:sz w:val="20"/>
      <w:szCs w:val="20"/>
    </w:rPr>
  </w:style>
  <w:style w:type="character" w:customStyle="1" w:styleId="209">
    <w:name w:val="要点1"/>
    <w:link w:val="1"/>
    <w:qFormat/>
    <w:uiPriority w:val="0"/>
    <w:rPr>
      <w:b/>
    </w:rPr>
  </w:style>
  <w:style w:type="character" w:customStyle="1" w:styleId="210">
    <w:name w:val="强调1"/>
    <w:basedOn w:val="192"/>
    <w:link w:val="1"/>
    <w:qFormat/>
    <w:uiPriority w:val="0"/>
    <w:rPr>
      <w:color w:val="F73131"/>
    </w:rPr>
  </w:style>
  <w:style w:type="character" w:customStyle="1" w:styleId="211">
    <w:name w:val="超链接1"/>
    <w:basedOn w:val="192"/>
    <w:link w:val="1"/>
    <w:uiPriority w:val="0"/>
    <w:rPr>
      <w:color w:val="0000FF"/>
      <w:u w:val="single"/>
    </w:rPr>
  </w:style>
  <w:style w:type="character" w:customStyle="1" w:styleId="212">
    <w:name w:val="HTML 引文1"/>
    <w:basedOn w:val="192"/>
    <w:link w:val="1"/>
    <w:qFormat/>
    <w:uiPriority w:val="0"/>
    <w:rPr>
      <w:color w:val="008000"/>
    </w:rPr>
  </w:style>
  <w:style w:type="paragraph" w:customStyle="1" w:styleId="213">
    <w:name w:val="表格"/>
    <w:basedOn w:val="1"/>
    <w:next w:val="1"/>
    <w:qFormat/>
    <w:uiPriority w:val="0"/>
    <w:pPr>
      <w:keepNext/>
      <w:suppressLineNumbers/>
      <w:spacing w:line="0" w:lineRule="atLeast"/>
      <w:jc w:val="center"/>
    </w:pPr>
  </w:style>
  <w:style w:type="character" w:customStyle="1" w:styleId="214">
    <w:name w:val="NormalCharacter1"/>
    <w:link w:val="215"/>
    <w:semiHidden/>
    <w:qFormat/>
    <w:uiPriority w:val="0"/>
    <w:rPr>
      <w:rFonts w:ascii="Times New Roman" w:hAnsi="Times New Roman" w:eastAsia="宋体"/>
      <w:sz w:val="20"/>
      <w:szCs w:val="20"/>
    </w:rPr>
  </w:style>
  <w:style w:type="paragraph" w:customStyle="1" w:styleId="215">
    <w:name w:val="UserStyle_2"/>
    <w:basedOn w:val="1"/>
    <w:link w:val="214"/>
    <w:qFormat/>
    <w:uiPriority w:val="0"/>
    <w:pPr>
      <w:spacing w:after="120"/>
      <w:ind w:left="420"/>
      <w:jc w:val="both"/>
    </w:pPr>
    <w:rPr>
      <w:rFonts w:ascii="Times New Roman" w:hAnsi="Times New Roman" w:eastAsia="宋体"/>
      <w:sz w:val="20"/>
      <w:szCs w:val="20"/>
    </w:rPr>
  </w:style>
  <w:style w:type="paragraph" w:customStyle="1" w:styleId="216">
    <w:name w:val="样式0-文号"/>
    <w:basedOn w:val="1"/>
    <w:qFormat/>
    <w:uiPriority w:val="0"/>
    <w:pPr>
      <w:spacing w:before="312" w:after="312" w:line="520" w:lineRule="exact"/>
      <w:jc w:val="center"/>
    </w:pPr>
    <w:rPr>
      <w:rFonts w:ascii="Calibri" w:hAnsi="Calibri" w:eastAsia="仿宋" w:cs="宋体"/>
      <w:sz w:val="30"/>
      <w:szCs w:val="20"/>
    </w:rPr>
  </w:style>
  <w:style w:type="character" w:customStyle="1" w:styleId="217">
    <w:name w:val="hover26"/>
    <w:basedOn w:val="192"/>
    <w:link w:val="1"/>
    <w:qFormat/>
    <w:uiPriority w:val="0"/>
    <w:rPr>
      <w:color w:val="315EFB"/>
      <w:shd w:val="clear" w:color="auto" w:fill="F0F3FD"/>
    </w:rPr>
  </w:style>
  <w:style w:type="character" w:customStyle="1" w:styleId="218">
    <w:name w:val="hover27"/>
    <w:basedOn w:val="192"/>
    <w:link w:val="1"/>
    <w:qFormat/>
    <w:uiPriority w:val="0"/>
    <w:rPr>
      <w:color w:val="315EFB"/>
    </w:rPr>
  </w:style>
  <w:style w:type="character" w:customStyle="1" w:styleId="219">
    <w:name w:val="hover28"/>
    <w:basedOn w:val="192"/>
    <w:link w:val="1"/>
    <w:uiPriority w:val="0"/>
    <w:rPr>
      <w:color w:val="315EFB"/>
    </w:rPr>
  </w:style>
  <w:style w:type="character" w:customStyle="1" w:styleId="220">
    <w:name w:val="c-icon32"/>
    <w:basedOn w:val="192"/>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Company>
  <Pages>15</Pages>
  <Words>7243</Words>
  <Characters>7376</Characters>
  <TotalTime>0</TotalTime>
  <ScaleCrop>false</ScaleCrop>
  <LinksUpToDate>false</LinksUpToDate>
  <CharactersWithSpaces>7377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2023-09-05T20:46:00Z</dcterms:created>
  <dc:creator>zh</dc:creator>
  <cp:lastModifiedBy>澹台子骁</cp:lastModifiedBy>
  <dcterms:modified xsi:type="dcterms:W3CDTF">2024-10-25T07:23:11Z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38087BB1A3D649C89F94A924F2BBF707_12</vt:lpwstr>
  </property>
</Properties>
</file>