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353BA3">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呼伦贝尔市生态环境局</w:t>
      </w:r>
    </w:p>
    <w:p w14:paraId="34F34F8E">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56D4F5DB">
      <w:pPr>
        <w:keepNext w:val="0"/>
        <w:keepLines w:val="0"/>
        <w:pageBreakBefore w:val="0"/>
        <w:widowControl/>
        <w:kinsoku w:val="0"/>
        <w:wordWrap/>
        <w:overflowPunct/>
        <w:topLinePunct w:val="0"/>
        <w:autoSpaceDE w:val="0"/>
        <w:autoSpaceDN w:val="0"/>
        <w:bidi w:val="0"/>
        <w:adjustRightInd w:val="0"/>
        <w:snapToGrid w:val="0"/>
        <w:spacing w:line="740" w:lineRule="exact"/>
        <w:ind w:firstLine="2570" w:firstLineChars="800"/>
        <w:jc w:val="both"/>
        <w:textAlignment w:val="baseline"/>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r>
        <w:rPr>
          <w:rFonts w:hint="eastAsia" w:ascii="仿宋_GB2312" w:hAnsi="仿宋_GB2312" w:eastAsia="仿宋_GB2312" w:cs="仿宋_GB2312"/>
          <w:b/>
          <w:bCs/>
          <w:sz w:val="32"/>
          <w:szCs w:val="32"/>
          <w:lang w:val="en-US" w:eastAsia="zh-CN"/>
        </w:rPr>
        <w:t>2025</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0301号</w:t>
      </w:r>
    </w:p>
    <w:p w14:paraId="3E461F2F">
      <w:pPr>
        <w:keepNext w:val="0"/>
        <w:keepLines w:val="0"/>
        <w:pageBreakBefore w:val="0"/>
        <w:widowControl/>
        <w:kinsoku w:val="0"/>
        <w:wordWrap/>
        <w:overflowPunct/>
        <w:topLinePunct w:val="0"/>
        <w:autoSpaceDE w:val="0"/>
        <w:autoSpaceDN w:val="0"/>
        <w:bidi w:val="0"/>
        <w:adjustRightInd w:val="0"/>
        <w:snapToGrid w:val="0"/>
        <w:spacing w:line="680" w:lineRule="exact"/>
        <w:jc w:val="left"/>
        <w:textAlignment w:val="baseline"/>
        <w:rPr>
          <w:rFonts w:hint="eastAsia" w:ascii="仿宋_GB2312" w:hAnsi="仿宋_GB2312" w:eastAsia="仿宋_GB2312" w:cs="仿宋_GB2312"/>
          <w:b w:val="0"/>
          <w:bCs w:val="0"/>
          <w:sz w:val="32"/>
          <w:szCs w:val="32"/>
          <w:lang w:val="en-US" w:eastAsia="zh-CN"/>
          <w14:ligatures w14:val="none"/>
        </w:rPr>
      </w:pPr>
      <w:r>
        <w:rPr>
          <w:rFonts w:hint="eastAsia" w:ascii="仿宋_GB2312" w:hAnsi="仿宋_GB2312" w:eastAsia="仿宋_GB2312" w:cs="仿宋_GB2312"/>
          <w:b/>
          <w:bCs/>
          <w:sz w:val="32"/>
          <w:szCs w:val="32"/>
          <w:lang w:val="en-US" w:eastAsia="zh-CN"/>
          <w14:ligatures w14:val="none"/>
        </w:rPr>
        <w:t>当事人名称：</w:t>
      </w:r>
      <w:r>
        <w:rPr>
          <w:rFonts w:hint="eastAsia" w:ascii="仿宋_GB2312" w:hAnsi="仿宋_GB2312" w:eastAsia="仿宋_GB2312" w:cs="仿宋_GB2312"/>
          <w:b w:val="0"/>
          <w:bCs w:val="0"/>
          <w:sz w:val="32"/>
          <w:szCs w:val="32"/>
          <w:lang w:val="en-US" w:eastAsia="zh-CN"/>
          <w14:ligatures w14:val="none"/>
        </w:rPr>
        <w:t>黑龙江省聚广商贸有限公司</w:t>
      </w:r>
    </w:p>
    <w:p w14:paraId="638145E6">
      <w:pPr>
        <w:keepNext w:val="0"/>
        <w:keepLines w:val="0"/>
        <w:pageBreakBefore w:val="0"/>
        <w:widowControl/>
        <w:kinsoku w:val="0"/>
        <w:wordWrap/>
        <w:overflowPunct/>
        <w:topLinePunct w:val="0"/>
        <w:autoSpaceDE w:val="0"/>
        <w:autoSpaceDN w:val="0"/>
        <w:bidi w:val="0"/>
        <w:adjustRightInd w:val="0"/>
        <w:snapToGrid w:val="0"/>
        <w:spacing w:line="680" w:lineRule="exact"/>
        <w:jc w:val="left"/>
        <w:textAlignment w:val="baseline"/>
        <w:rPr>
          <w:rFonts w:hint="eastAsia" w:ascii="仿宋_GB2312" w:hAnsi="仿宋_GB2312" w:eastAsia="仿宋_GB2312" w:cs="仿宋_GB2312"/>
          <w:b w:val="0"/>
          <w:bCs w:val="0"/>
          <w:sz w:val="32"/>
          <w:szCs w:val="32"/>
          <w:lang w:val="en-US" w:eastAsia="zh-CN"/>
          <w14:ligatures w14:val="none"/>
        </w:rPr>
      </w:pPr>
      <w:r>
        <w:rPr>
          <w:rFonts w:hint="eastAsia" w:ascii="仿宋_GB2312" w:hAnsi="仿宋_GB2312" w:eastAsia="仿宋_GB2312" w:cs="仿宋_GB2312"/>
          <w:b/>
          <w:bCs/>
          <w:sz w:val="32"/>
          <w:szCs w:val="32"/>
          <w:lang w:val="en-US" w:eastAsia="zh-CN"/>
          <w14:ligatures w14:val="none"/>
        </w:rPr>
        <w:t>法定代表人：</w:t>
      </w:r>
      <w:r>
        <w:rPr>
          <w:rFonts w:hint="eastAsia" w:ascii="仿宋_GB2312" w:hAnsi="仿宋_GB2312" w:eastAsia="仿宋_GB2312" w:cs="仿宋_GB2312"/>
          <w:b w:val="0"/>
          <w:bCs w:val="0"/>
          <w:sz w:val="32"/>
          <w:szCs w:val="32"/>
          <w:lang w:val="en-US" w:eastAsia="zh-CN"/>
          <w14:ligatures w14:val="none"/>
        </w:rPr>
        <w:t>赵本福</w:t>
      </w:r>
    </w:p>
    <w:p w14:paraId="05A5007C">
      <w:pPr>
        <w:keepNext w:val="0"/>
        <w:keepLines w:val="0"/>
        <w:pageBreakBefore w:val="0"/>
        <w:widowControl/>
        <w:kinsoku w:val="0"/>
        <w:wordWrap/>
        <w:overflowPunct/>
        <w:topLinePunct w:val="0"/>
        <w:autoSpaceDE w:val="0"/>
        <w:autoSpaceDN w:val="0"/>
        <w:bidi w:val="0"/>
        <w:adjustRightInd w:val="0"/>
        <w:snapToGrid w:val="0"/>
        <w:spacing w:line="680" w:lineRule="exact"/>
        <w:jc w:val="left"/>
        <w:textAlignment w:val="baseline"/>
        <w:rPr>
          <w:rFonts w:hint="eastAsia" w:ascii="仿宋_GB2312" w:hAnsi="仿宋_GB2312" w:eastAsia="仿宋_GB2312" w:cs="仿宋_GB2312"/>
          <w:b w:val="0"/>
          <w:bCs w:val="0"/>
          <w:sz w:val="32"/>
          <w:szCs w:val="32"/>
          <w:lang w:val="en-US" w:eastAsia="zh-CN"/>
          <w14:ligatures w14:val="none"/>
        </w:rPr>
      </w:pPr>
      <w:r>
        <w:rPr>
          <w:rFonts w:hint="eastAsia" w:ascii="仿宋_GB2312" w:hAnsi="仿宋_GB2312" w:eastAsia="仿宋_GB2312" w:cs="仿宋_GB2312"/>
          <w:b/>
          <w:bCs/>
          <w:sz w:val="32"/>
          <w:szCs w:val="32"/>
          <w:lang w:val="en-US" w:eastAsia="zh-CN"/>
          <w14:ligatures w14:val="none"/>
        </w:rPr>
        <w:t>统一社会信用代码：</w:t>
      </w:r>
      <w:r>
        <w:rPr>
          <w:rFonts w:hint="eastAsia" w:ascii="仿宋_GB2312" w:hAnsi="仿宋_GB2312" w:eastAsia="仿宋_GB2312" w:cs="仿宋_GB2312"/>
          <w:b w:val="0"/>
          <w:bCs w:val="0"/>
          <w:sz w:val="32"/>
          <w:szCs w:val="32"/>
          <w:lang w:val="en-US" w:eastAsia="zh-CN"/>
          <w14:ligatures w14:val="none"/>
        </w:rPr>
        <w:t>91231121MADRA30J3F</w:t>
      </w:r>
    </w:p>
    <w:p w14:paraId="519FA2CB">
      <w:pPr>
        <w:keepNext w:val="0"/>
        <w:keepLines w:val="0"/>
        <w:pageBreakBefore w:val="0"/>
        <w:widowControl/>
        <w:kinsoku w:val="0"/>
        <w:wordWrap/>
        <w:overflowPunct/>
        <w:topLinePunct w:val="0"/>
        <w:autoSpaceDE w:val="0"/>
        <w:autoSpaceDN w:val="0"/>
        <w:bidi w:val="0"/>
        <w:adjustRightInd w:val="0"/>
        <w:snapToGrid w:val="0"/>
        <w:spacing w:line="680" w:lineRule="exact"/>
        <w:jc w:val="left"/>
        <w:textAlignment w:val="baseline"/>
        <w:rPr>
          <w:rFonts w:hint="eastAsia" w:ascii="仿宋_GB2312" w:hAnsi="仿宋_GB2312" w:eastAsia="仿宋_GB2312" w:cs="仿宋_GB2312"/>
          <w:b w:val="0"/>
          <w:bCs w:val="0"/>
          <w:sz w:val="32"/>
          <w:szCs w:val="32"/>
          <w:lang w:val="en-US" w:eastAsia="zh-CN"/>
          <w14:ligatures w14:val="none"/>
        </w:rPr>
      </w:pPr>
      <w:r>
        <w:rPr>
          <w:rFonts w:hint="eastAsia" w:ascii="仿宋_GB2312" w:hAnsi="仿宋_GB2312" w:eastAsia="仿宋_GB2312" w:cs="仿宋_GB2312"/>
          <w:b/>
          <w:bCs/>
          <w:sz w:val="32"/>
          <w:szCs w:val="32"/>
          <w:lang w:val="en-US" w:eastAsia="zh-CN"/>
          <w14:ligatures w14:val="none"/>
        </w:rPr>
        <w:t>地址：</w:t>
      </w:r>
      <w:r>
        <w:rPr>
          <w:rFonts w:hint="eastAsia" w:ascii="仿宋_GB2312" w:hAnsi="仿宋_GB2312" w:eastAsia="仿宋_GB2312" w:cs="仿宋_GB2312"/>
          <w:b w:val="0"/>
          <w:bCs w:val="0"/>
          <w:sz w:val="32"/>
          <w:szCs w:val="32"/>
          <w:lang w:val="en-US" w:eastAsia="zh-CN"/>
          <w14:ligatures w14:val="none"/>
        </w:rPr>
        <w:t>扎兰屯市龙北水泥有限公司牙克石市分公司院内</w:t>
      </w:r>
    </w:p>
    <w:p w14:paraId="6D4DA591">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jc w:val="left"/>
        <w:textAlignment w:val="baseline"/>
        <w:rPr>
          <w:rFonts w:hint="eastAsia" w:ascii="仿宋_GB2312" w:hAnsi="仿宋_GB2312" w:eastAsia="仿宋_GB2312" w:cs="仿宋_GB2312"/>
          <w:b w:val="0"/>
          <w:bCs w:val="0"/>
          <w:sz w:val="32"/>
          <w:szCs w:val="32"/>
        </w:rPr>
      </w:pPr>
      <w:bookmarkStart w:id="0" w:name="_GoBack"/>
      <w:r>
        <w:rPr>
          <w:rFonts w:hint="eastAsia" w:ascii="仿宋_GB2312" w:hAnsi="仿宋_GB2312" w:eastAsia="仿宋_GB2312" w:cs="仿宋_GB2312"/>
          <w:b w:val="0"/>
          <w:bCs w:val="0"/>
          <w:sz w:val="32"/>
          <w:szCs w:val="32"/>
        </w:rPr>
        <w:t>我局于</w:t>
      </w:r>
      <w:r>
        <w:rPr>
          <w:rFonts w:hint="eastAsia" w:ascii="仿宋_GB2312" w:hAnsi="仿宋_GB2312" w:eastAsia="仿宋_GB2312" w:cs="仿宋_GB2312"/>
          <w:b w:val="0"/>
          <w:bCs w:val="0"/>
          <w:sz w:val="32"/>
          <w:szCs w:val="32"/>
          <w:lang w:val="en-US" w:eastAsia="zh-CN"/>
        </w:rPr>
        <w:t>2025</w:t>
      </w:r>
      <w:r>
        <w:rPr>
          <w:rFonts w:hint="eastAsia" w:ascii="仿宋_GB2312" w:hAnsi="仿宋_GB2312" w:eastAsia="仿宋_GB2312" w:cs="仿宋_GB2312"/>
          <w:b w:val="0"/>
          <w:bCs w:val="0"/>
          <w:sz w:val="32"/>
          <w:szCs w:val="32"/>
        </w:rPr>
        <w:t>年</w:t>
      </w: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月</w:t>
      </w:r>
      <w:r>
        <w:rPr>
          <w:rFonts w:hint="eastAsia" w:ascii="仿宋_GB2312" w:hAnsi="仿宋_GB2312" w:eastAsia="仿宋_GB2312" w:cs="仿宋_GB2312"/>
          <w:b w:val="0"/>
          <w:bCs w:val="0"/>
          <w:sz w:val="32"/>
          <w:szCs w:val="32"/>
          <w:lang w:val="en-US" w:eastAsia="zh-CN"/>
        </w:rPr>
        <w:t>6日</w:t>
      </w:r>
      <w:r>
        <w:rPr>
          <w:rFonts w:hint="eastAsia" w:ascii="仿宋_GB2312" w:hAnsi="仿宋_GB2312" w:eastAsia="仿宋_GB2312" w:cs="仿宋_GB2312"/>
          <w:b w:val="0"/>
          <w:bCs w:val="0"/>
          <w:sz w:val="32"/>
          <w:szCs w:val="32"/>
        </w:rPr>
        <w:t>对你单位进行了调查，发现你单位实施了以下生态环境违法行为：</w:t>
      </w:r>
    </w:p>
    <w:p w14:paraId="015CBC12">
      <w:pPr>
        <w:keepNext w:val="0"/>
        <w:keepLines w:val="0"/>
        <w:pageBreakBefore w:val="0"/>
        <w:widowControl/>
        <w:kinsoku w:val="0"/>
        <w:wordWrap/>
        <w:overflowPunct/>
        <w:topLinePunct w:val="0"/>
        <w:autoSpaceDE w:val="0"/>
        <w:autoSpaceDN w:val="0"/>
        <w:bidi w:val="0"/>
        <w:adjustRightInd w:val="0"/>
        <w:snapToGrid w:val="0"/>
        <w:spacing w:line="600" w:lineRule="exact"/>
        <w:ind w:firstLine="640" w:firstLineChars="200"/>
        <w:jc w:val="both"/>
        <w:textAlignment w:val="baseline"/>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呼伦贝尔市生态环境局牙克石市分局专项检查组对黑龙江省聚广商贸有限公司进行现场检查，你公司煤炭储运货场接受现场检查时处于运营状态，煤炭储运货场场区内有部分原煤未密闭。经牙克石市生态环境综合行政执法大队执法人员姜志刚（05030315034）、张春泽（05030315038）现场测量，你公司储运货场内未密闭的原煤占地面积共计1802.98平方米。</w:t>
      </w:r>
    </w:p>
    <w:p w14:paraId="774CF81E">
      <w:pPr>
        <w:keepNext w:val="0"/>
        <w:keepLines w:val="0"/>
        <w:pageBreakBefore w:val="0"/>
        <w:wordWrap/>
        <w:overflowPunct/>
        <w:topLinePunct w:val="0"/>
        <w:bidi w:val="0"/>
        <w:snapToGrid w:val="0"/>
        <w:spacing w:line="600" w:lineRule="exact"/>
        <w:ind w:firstLine="640" w:firstLineChars="200"/>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违反法律规定的行为：</w:t>
      </w:r>
    </w:p>
    <w:p w14:paraId="630021B1">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未密闭易产生扬尘的物料。</w:t>
      </w:r>
    </w:p>
    <w:p w14:paraId="48F11EB0">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以上事实有：</w:t>
      </w:r>
    </w:p>
    <w:p w14:paraId="172024DA">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1.呼伦贝尔市生态环境局现场检查（勘察）笔录1份，2025年1月10日15时00分至15时30分，证明对你单位存在的生产环境问题现场检查（勘察）情况。</w:t>
      </w:r>
    </w:p>
    <w:p w14:paraId="48397266">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2.呼伦贝尔市生态环境局调查询问笔录1份，2025年1月10日15时40分至16时10分，证明对你单位存在的生态环境问题进行询问调查。</w:t>
      </w:r>
    </w:p>
    <w:p w14:paraId="22AB2A88">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3.租赁合同复印件1份，证明你单位租赁扎兰屯市龙北水泥有限公司牙克石市分公司铁路专用线应履行的乙方义务。</w:t>
      </w:r>
    </w:p>
    <w:p w14:paraId="65927167">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4.黑龙江省聚广商贸有限公司现场拍摄照片3页，证明你单位未密闭贮存易产生扬尘的物料。</w:t>
      </w:r>
    </w:p>
    <w:p w14:paraId="55F1FF26">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5.黑龙江省聚广商贸有限公司营业执照复印件1份，证明你单位工商登记情况及市场主体资格。</w:t>
      </w:r>
    </w:p>
    <w:p w14:paraId="6C39FB96">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6.黑龙江省聚广商贸有限公司法人身份证复印件1份，黑龙江省聚广商贸有限公司李可欣经理提供，证明你单位法定代表人身份信息。</w:t>
      </w:r>
    </w:p>
    <w:p w14:paraId="27D756B9">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7.黑龙江省聚广商贸有限公司法人授权委托书1份，证明你单位法定代表人授权委托李可欣办理生态环境工作事宜。</w:t>
      </w:r>
    </w:p>
    <w:p w14:paraId="494F6470">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8.黑龙江省聚广商贸有限公司经理李可欣身份证复印件1份，证明你单位受委托人身份信息。</w:t>
      </w:r>
    </w:p>
    <w:p w14:paraId="3EE3654B">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9.黑龙江省聚广商贸有限公司位于扎兰屯市龙北水泥有限公司牙克石市分公司院内储运煤场平面图1份，证明你单位地理位置信息。</w:t>
      </w:r>
    </w:p>
    <w:p w14:paraId="60D889EA">
      <w:pPr>
        <w:keepNext w:val="0"/>
        <w:keepLines w:val="0"/>
        <w:pageBreakBefore w:val="0"/>
        <w:widowControl w:val="0"/>
        <w:kinsoku/>
        <w:wordWrap/>
        <w:overflowPunct/>
        <w:topLinePunct w:val="0"/>
        <w:autoSpaceDE/>
        <w:autoSpaceDN/>
        <w:bidi w:val="0"/>
        <w:snapToGrid w:val="0"/>
        <w:spacing w:line="60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10.执法人员执法证件复印件1份，证明执法人员身份。</w:t>
      </w:r>
    </w:p>
    <w:p w14:paraId="5D919D19">
      <w:pPr>
        <w:keepNext w:val="0"/>
        <w:keepLines w:val="0"/>
        <w:pageBreakBefore w:val="0"/>
        <w:widowControl w:val="0"/>
        <w:kinsoku/>
        <w:wordWrap/>
        <w:overflowPunct/>
        <w:topLinePunct w:val="0"/>
        <w:autoSpaceDE/>
        <w:autoSpaceDN/>
        <w:bidi w:val="0"/>
        <w:snapToGrid w:val="0"/>
        <w:spacing w:line="60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你公司的上述行为违反《中华人民共和国大气污染防治法》第七十二条第一款“贮存煤炭、煤矸石、煤渣、煤灰、水泥、石灰、石膏、砂土等易产生扬尘的物料应当密闭；不能密闭的，应当设置不低于堆放物高度的严密围挡，并采取有效覆盖措施防治扬尘污染。”的规定。</w:t>
      </w:r>
    </w:p>
    <w:p w14:paraId="71CD7E63">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我局于2025年2月5日以《行政处罚事先（听证）告知书》（呼环罚告〔2025〕0303号）告知你公司享有陈述申辩权和听证权，你公司于2025年2月10日签收并于2025年2月12日提交书面申辩材料。我局于2025年2月24日召开案审会，对申辩书中的核心申辩主张（1.请求适用“免罚清单”规定；2.替代方案建议；3.法律与政策依据补充）进行讨论，经讨论根据《内蒙古自治区生态环境系统行政处罚裁量基准规定（试行）》的相关规定该案件不在不予行政处罚范围内。根据《关于要求重点行业对易产生扬尘物料密闭贮存的通知》（2022029）和《关于加强牙克石市煤炭行业扬尘治理的通知》（牙环字〔2022〕41号）的文件要求及对你公司进行约谈时的要求，申请延期整改不可行。</w:t>
      </w:r>
    </w:p>
    <w:p w14:paraId="642C8BEC">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以上事实有《行政处罚事先（听证）告知书》（呼环罚告〔2025〕0310号）、《送达回证》《内蒙古自治区生态环境系统行政处罚裁量基准规定（试行）》《关于要求重点行业对易产生扬尘物料密闭贮存的通知》（2022029）、《关于加强牙克石市煤炭行业扬尘治理的通知》（牙环字〔2022〕41号）和约谈记录（李可欣签字）为证。</w:t>
      </w:r>
    </w:p>
    <w:p w14:paraId="02009C3A">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依据《中华人民共和国大气污染防治法》第一百一十七条第一项违反本法规定，有下列行为之一的，由县级以上人民政府生态环境主管部门按照职责责令改正，处一万元以上十万元以下的罚款；拒不改正的，责令停工整治或者停业整治：（一）未密闭煤炭、煤矸石、煤渣、煤灰、水泥、石灰、石膏、砂土等易产生扬尘的物料的；的规定予以处罚。</w:t>
      </w:r>
    </w:p>
    <w:p w14:paraId="290137DC">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依据《内蒙古自治区生态环境系统行政处罚裁量基准规定（试行）》裁量如下：</w:t>
      </w:r>
    </w:p>
    <w:p w14:paraId="19BD71B7">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黑龙江省聚广商贸有限公司未密闭易产生扬尘的物料，违反扬尘污染防治规定的环境违法行为，裁量区间</w:t>
      </w:r>
      <w:r>
        <w:rPr>
          <w:rFonts w:hint="eastAsia" w:ascii="仿宋_GB2312" w:hAnsi="仿宋_GB2312" w:eastAsia="仿宋_GB2312" w:cs="仿宋_GB2312"/>
          <w:b w:val="0"/>
          <w:bCs w:val="0"/>
          <w:sz w:val="32"/>
          <w:szCs w:val="32"/>
          <w:lang w:eastAsia="zh-CN"/>
        </w:rPr>
        <w:t>为1万元</w:t>
      </w:r>
      <w:r>
        <w:rPr>
          <w:rFonts w:hint="eastAsia" w:ascii="仿宋_GB2312" w:hAnsi="仿宋_GB2312" w:eastAsia="仿宋_GB2312" w:cs="仿宋_GB2312"/>
          <w:b w:val="0"/>
          <w:bCs w:val="0"/>
          <w:sz w:val="32"/>
          <w:szCs w:val="32"/>
        </w:rPr>
        <w:t>以上10万元以下的处罚额度。</w:t>
      </w:r>
    </w:p>
    <w:p w14:paraId="1BBF8DB7">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你</w:t>
      </w:r>
      <w:r>
        <w:rPr>
          <w:rFonts w:hint="eastAsia" w:ascii="仿宋_GB2312" w:hAnsi="仿宋_GB2312" w:eastAsia="仿宋_GB2312" w:cs="仿宋_GB2312"/>
          <w:b w:val="0"/>
          <w:bCs w:val="0"/>
          <w:sz w:val="32"/>
          <w:szCs w:val="32"/>
          <w:lang w:val="en-US" w:eastAsia="zh-CN"/>
        </w:rPr>
        <w:t>公司未密闭的</w:t>
      </w:r>
      <w:r>
        <w:rPr>
          <w:rFonts w:hint="eastAsia" w:ascii="仿宋_GB2312" w:hAnsi="仿宋_GB2312" w:eastAsia="仿宋_GB2312" w:cs="仿宋_GB2312"/>
          <w:b w:val="0"/>
          <w:bCs w:val="0"/>
          <w:sz w:val="32"/>
          <w:szCs w:val="32"/>
        </w:rPr>
        <w:t>物料数量为1802.98平方米，数量＞500平方米，裁量区间为5万元以上，10万元以下，处罚款伍万贰仟元。</w:t>
      </w:r>
    </w:p>
    <w:p w14:paraId="0438A698">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我局对你单位作出如下行政处罚：</w:t>
      </w:r>
    </w:p>
    <w:p w14:paraId="4322F571">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对黑龙江省聚广商贸有限公司未密闭易产生扬尘的物料的违法行为处以罚款伍万贰仟（52000.00）元整。</w:t>
      </w:r>
    </w:p>
    <w:p w14:paraId="3847D5F7">
      <w:pPr>
        <w:keepNext w:val="0"/>
        <w:keepLines w:val="0"/>
        <w:pageBreakBefore w:val="0"/>
        <w:widowControl w:val="0"/>
        <w:kinsoku/>
        <w:wordWrap/>
        <w:overflowPunct/>
        <w:topLinePunct w:val="0"/>
        <w:autoSpaceDE/>
        <w:autoSpaceDN/>
        <w:bidi w:val="0"/>
        <w:snapToGrid w:val="0"/>
        <w:spacing w:line="60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34D1725">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你单位如不服本处罚决定，可在收到本处罚决定书之日起</w:t>
      </w:r>
      <w:r>
        <w:rPr>
          <w:rFonts w:hint="eastAsia" w:ascii="仿宋_GB2312" w:hAnsi="仿宋_GB2312" w:eastAsia="仿宋_GB2312" w:cs="仿宋_GB2312"/>
          <w:sz w:val="32"/>
          <w:szCs w:val="32"/>
          <w:u w:val="none"/>
          <w:lang w:val="en-US" w:eastAsia="zh-CN"/>
        </w:rPr>
        <w:t>六十</w:t>
      </w:r>
      <w:r>
        <w:rPr>
          <w:rFonts w:hint="eastAsia" w:ascii="仿宋_GB2312" w:hAnsi="仿宋_GB2312" w:eastAsia="仿宋_GB2312" w:cs="仿宋_GB2312"/>
          <w:sz w:val="32"/>
          <w:szCs w:val="32"/>
          <w:u w:val="none"/>
        </w:rPr>
        <w:t>日内向呼伦贝尔市人民政府申请行政复议，也可以在</w:t>
      </w:r>
      <w:r>
        <w:rPr>
          <w:rFonts w:hint="eastAsia" w:ascii="仿宋_GB2312" w:hAnsi="仿宋_GB2312" w:eastAsia="仿宋_GB2312" w:cs="仿宋_GB2312"/>
          <w:sz w:val="32"/>
          <w:szCs w:val="32"/>
          <w:u w:val="none"/>
          <w:lang w:val="en-US" w:eastAsia="zh-CN"/>
        </w:rPr>
        <w:t>六</w:t>
      </w:r>
      <w:r>
        <w:rPr>
          <w:rFonts w:hint="eastAsia" w:ascii="仿宋_GB2312" w:hAnsi="仿宋_GB2312" w:eastAsia="仿宋_GB2312" w:cs="仿宋_GB2312"/>
          <w:sz w:val="32"/>
          <w:szCs w:val="32"/>
          <w:u w:val="none"/>
        </w:rPr>
        <w:t>个月内向</w:t>
      </w:r>
      <w:r>
        <w:rPr>
          <w:rFonts w:hint="eastAsia" w:ascii="仿宋_GB2312" w:hAnsi="仿宋_GB2312" w:eastAsia="仿宋_GB2312" w:cs="仿宋_GB2312"/>
          <w:sz w:val="32"/>
          <w:szCs w:val="32"/>
          <w:u w:val="none"/>
          <w:lang w:val="en-US" w:eastAsia="zh-CN"/>
        </w:rPr>
        <w:t>海拉尔铁路运输</w:t>
      </w:r>
      <w:r>
        <w:rPr>
          <w:rFonts w:hint="eastAsia" w:ascii="仿宋_GB2312" w:hAnsi="仿宋_GB2312" w:eastAsia="仿宋_GB2312" w:cs="仿宋_GB2312"/>
          <w:sz w:val="32"/>
          <w:szCs w:val="32"/>
          <w:u w:val="none"/>
        </w:rPr>
        <w:t>法院提起行政诉讼。申请行政复议或者提起行政诉讼，不停止行政处罚决定的执行。</w:t>
      </w:r>
    </w:p>
    <w:p w14:paraId="5D619256">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逾期不申请行政复议，不提起行政诉讼，又不履行本处罚决定的，我局将依法申请人民法院强制执行。</w:t>
      </w:r>
    </w:p>
    <w:bookmarkEnd w:id="0"/>
    <w:p w14:paraId="0B6FE382">
      <w:pPr>
        <w:pStyle w:val="2"/>
        <w:keepNext w:val="0"/>
        <w:keepLines w:val="0"/>
        <w:pageBreakBefore w:val="0"/>
        <w:wordWrap/>
        <w:overflowPunct/>
        <w:topLinePunct w:val="0"/>
        <w:bidi w:val="0"/>
        <w:snapToGrid w:val="0"/>
        <w:spacing w:line="560" w:lineRule="exact"/>
        <w:rPr>
          <w:rFonts w:hint="eastAsia" w:ascii="仿宋_GB2312" w:hAnsi="仿宋_GB2312" w:eastAsia="仿宋_GB2312" w:cs="仿宋_GB2312"/>
          <w:sz w:val="32"/>
          <w:szCs w:val="32"/>
        </w:rPr>
      </w:pPr>
    </w:p>
    <w:p w14:paraId="6912D596">
      <w:pPr>
        <w:pStyle w:val="2"/>
        <w:keepNext w:val="0"/>
        <w:keepLines w:val="0"/>
        <w:pageBreakBefore w:val="0"/>
        <w:wordWrap/>
        <w:overflowPunct/>
        <w:bidi w:val="0"/>
        <w:snapToGrid w:val="0"/>
        <w:spacing w:line="580" w:lineRule="exact"/>
        <w:rPr>
          <w:rFonts w:hint="eastAsia" w:ascii="仿宋_GB2312" w:hAnsi="仿宋_GB2312" w:eastAsia="仿宋_GB2312" w:cs="仿宋_GB2312"/>
          <w:sz w:val="32"/>
          <w:szCs w:val="32"/>
        </w:rPr>
      </w:pPr>
    </w:p>
    <w:p w14:paraId="29300300">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4FBF27BA">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lang w:eastAsia="zh-CN"/>
        </w:rPr>
      </w:pPr>
    </w:p>
    <w:p w14:paraId="10846590">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57E58DE7">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0B0A8A49">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58EC8C78">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4A569AAE">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rPr>
          <w:rFonts w:hint="default"/>
          <w:lang w:val="en-US"/>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30日</w:t>
      </w:r>
    </w:p>
    <w:p w14:paraId="5DC2BF9D">
      <w:pPr>
        <w:keepNext w:val="0"/>
        <w:keepLines w:val="0"/>
        <w:pageBreakBefore w:val="0"/>
        <w:wordWrap/>
        <w:overflowPunct/>
        <w:bidi w:val="0"/>
        <w:snapToGrid w:val="0"/>
        <w:spacing w:line="580" w:lineRule="exact"/>
      </w:pPr>
    </w:p>
    <w:p w14:paraId="0E2A5608">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sz w:val="32"/>
          <w:szCs w:val="32"/>
          <w:lang w:eastAsia="zh-CN"/>
        </w:rPr>
      </w:pPr>
    </w:p>
    <w:p w14:paraId="622AA5BA">
      <w:pPr>
        <w:keepNext w:val="0"/>
        <w:keepLines w:val="0"/>
        <w:pageBreakBefore w:val="0"/>
        <w:kinsoku/>
        <w:wordWrap/>
        <w:overflowPunct/>
        <w:topLinePunct w:val="0"/>
        <w:autoSpaceDE/>
        <w:autoSpaceDN/>
        <w:bidi w:val="0"/>
        <w:spacing w:line="580" w:lineRule="exact"/>
        <w:ind w:firstLine="640" w:firstLineChars="200"/>
        <w:jc w:val="left"/>
        <w:textAlignment w:val="auto"/>
        <w:rPr>
          <w:rFonts w:hint="eastAsia" w:ascii="仿宋" w:hAnsi="仿宋" w:eastAsia="仿宋" w:cs="仿宋"/>
          <w:b w:val="0"/>
          <w:color w:val="000000" w:themeColor="text1"/>
          <w:kern w:val="2"/>
          <w:sz w:val="32"/>
          <w:szCs w:val="32"/>
          <w:lang w:val="en-US" w:eastAsia="zh-CN"/>
          <w14:textFill>
            <w14:solidFill>
              <w14:schemeClr w14:val="tx1"/>
            </w14:solidFill>
          </w14:textFill>
        </w:rPr>
      </w:pPr>
    </w:p>
    <w:p w14:paraId="3336B45B"/>
    <w:p w14:paraId="17284953"/>
    <w:p w14:paraId="400DDCB1"/>
    <w:p w14:paraId="49641A96"/>
    <w:p w14:paraId="4D31B188"/>
    <w:p w14:paraId="01890EDB"/>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CE4DF6"/>
    <w:rsid w:val="030376E3"/>
    <w:rsid w:val="2E9B6172"/>
    <w:rsid w:val="2F1236B4"/>
    <w:rsid w:val="34DB6BE3"/>
    <w:rsid w:val="62885CDB"/>
    <w:rsid w:val="6AB662FF"/>
    <w:rsid w:val="772462D2"/>
    <w:rsid w:val="778154D2"/>
    <w:rsid w:val="7DCE4D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Plain Text"/>
    <w:basedOn w:val="1"/>
    <w:autoRedefine/>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1958</Words>
  <Characters>2108</Characters>
  <Lines>0</Lines>
  <Paragraphs>0</Paragraphs>
  <TotalTime>12</TotalTime>
  <ScaleCrop>false</ScaleCrop>
  <LinksUpToDate>false</LinksUpToDate>
  <CharactersWithSpaces>2116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2025-03-25T02:53:00Z</dcterms:created>
  <dc:creator>a1 nits</dc:creator>
  <cp:lastModifiedBy>a1 nits</cp:lastModifiedBy>
  <dcterms:modified xsi:type="dcterms:W3CDTF">2025-04-07T07:20:58Z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7656A2D0A8FA49F8917A9B9E878A58AD_11</vt:lpwstr>
  </property>
  <property fmtid="{D5CDD505-2E9C-101B-9397-08002B2CF9AE}" pid="4" name="KSOTemplateDocerSaveRecord">
    <vt:lpwstr>eyJoZGlkIjoiMTJhYWM5ZDE0OGVhYjFlNGVlM2MwNzkzZjdkZTdlZDQiLCJ1c2VySWQiOiI4MDUxNzE3MDgifQ==</vt:lpwstr>
  </property>
</Properties>
</file>