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E0126">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sz w:val="44"/>
          <w:szCs w:val="44"/>
          <w14:ligatures w14:val="none"/>
        </w:rPr>
      </w:pPr>
      <w:r>
        <w:rPr>
          <w:rFonts w:hint="eastAsia" w:ascii="方正小标宋简体" w:hAnsi="方正小标宋简体" w:eastAsia="方正小标宋简体" w:cs="方正小标宋简体"/>
          <w:bCs/>
          <w:snapToGrid w:val="0"/>
          <w:color w:val="000000"/>
          <w:sz w:val="44"/>
          <w:szCs w:val="44"/>
          <w14:ligatures w14:val="none"/>
        </w:rPr>
        <w:t>呼伦贝尔市生态环境局</w:t>
      </w:r>
    </w:p>
    <w:p w14:paraId="75DEBB62">
      <w:pPr>
        <w:widowControl/>
        <w:kinsoku w:val="0"/>
        <w:autoSpaceDE w:val="0"/>
        <w:autoSpaceDN w:val="0"/>
        <w:adjustRightInd w:val="0"/>
        <w:snapToGrid w:val="0"/>
        <w:spacing w:line="800" w:lineRule="exact"/>
        <w:jc w:val="center"/>
        <w:textAlignment w:val="baseline"/>
        <w:rPr>
          <w:rFonts w:hint="eastAsia" w:ascii="方正小标宋简体" w:hAnsi="方正小标宋简体" w:eastAsia="方正小标宋简体" w:cs="方正小标宋简体"/>
          <w:bCs/>
          <w:snapToGrid w:val="0"/>
          <w:color w:val="000000"/>
          <w:kern w:val="0"/>
          <w:sz w:val="44"/>
          <w:szCs w:val="44"/>
          <w14:ligatures w14:val="none"/>
        </w:rPr>
      </w:pPr>
      <w:r>
        <w:rPr>
          <w:rFonts w:hint="eastAsia" w:ascii="方正小标宋简体" w:hAnsi="方正小标宋简体" w:eastAsia="方正小标宋简体" w:cs="方正小标宋简体"/>
          <w:bCs/>
          <w:snapToGrid w:val="0"/>
          <w:color w:val="000000"/>
          <w:kern w:val="0"/>
          <w:sz w:val="44"/>
          <w:szCs w:val="44"/>
          <w14:ligatures w14:val="none"/>
        </w:rPr>
        <w:t>行政处罚决定书</w:t>
      </w:r>
    </w:p>
    <w:p w14:paraId="1194319E">
      <w:pPr>
        <w:widowControl/>
        <w:kinsoku w:val="0"/>
        <w:autoSpaceDE w:val="0"/>
        <w:autoSpaceDN w:val="0"/>
        <w:adjustRightInd w:val="0"/>
        <w:snapToGrid w:val="0"/>
        <w:spacing w:line="760" w:lineRule="exact"/>
        <w:jc w:val="center"/>
        <w:textAlignment w:val="baseline"/>
        <w:rPr>
          <w:rFonts w:hint="eastAsia" w:ascii="仿宋_GB2312" w:hAnsi="仿宋_GB2312" w:eastAsia="仿宋_GB2312" w:cs="仿宋_GB2312"/>
          <w:b/>
          <w:bCs/>
          <w:snapToGrid w:val="0"/>
          <w:color w:val="000000"/>
          <w:kern w:val="0"/>
          <w:sz w:val="32"/>
          <w:szCs w:val="32"/>
          <w14:ligatures w14:val="none"/>
        </w:rPr>
      </w:pPr>
      <w:r>
        <w:rPr>
          <w:rFonts w:hint="eastAsia" w:ascii="仿宋_GB2312" w:hAnsi="仿宋_GB2312" w:eastAsia="仿宋_GB2312" w:cs="仿宋_GB2312"/>
          <w:b/>
          <w:bCs/>
          <w:snapToGrid w:val="0"/>
          <w:color w:val="000000"/>
          <w:kern w:val="0"/>
          <w:sz w:val="32"/>
          <w:szCs w:val="32"/>
          <w14:ligatures w14:val="none"/>
        </w:rPr>
        <w:t>呼环罚〔2025〕030</w:t>
      </w:r>
      <w:r>
        <w:rPr>
          <w:rFonts w:hint="eastAsia" w:ascii="仿宋_GB2312" w:hAnsi="仿宋_GB2312" w:eastAsia="仿宋_GB2312" w:cs="仿宋_GB2312"/>
          <w:b/>
          <w:bCs/>
          <w:snapToGrid w:val="0"/>
          <w:color w:val="000000"/>
          <w:kern w:val="0"/>
          <w:sz w:val="32"/>
          <w:szCs w:val="32"/>
          <w:lang w:val="en-US" w:eastAsia="zh-CN"/>
          <w14:ligatures w14:val="none"/>
        </w:rPr>
        <w:t>3</w:t>
      </w:r>
      <w:r>
        <w:rPr>
          <w:rFonts w:hint="eastAsia" w:ascii="仿宋_GB2312" w:hAnsi="仿宋_GB2312" w:eastAsia="仿宋_GB2312" w:cs="仿宋_GB2312"/>
          <w:b/>
          <w:bCs/>
          <w:snapToGrid w:val="0"/>
          <w:color w:val="000000"/>
          <w:kern w:val="0"/>
          <w:sz w:val="32"/>
          <w:szCs w:val="32"/>
          <w14:ligatures w14:val="none"/>
        </w:rPr>
        <w:t>号</w:t>
      </w:r>
    </w:p>
    <w:p w14:paraId="128B494A">
      <w:pPr>
        <w:keepNext w:val="0"/>
        <w:keepLines w:val="0"/>
        <w:pageBreakBefore w:val="0"/>
        <w:widowControl/>
        <w:kinsoku w:val="0"/>
        <w:wordWrap/>
        <w:overflowPunct/>
        <w:topLinePunct w:val="0"/>
        <w:autoSpaceDE w:val="0"/>
        <w:autoSpaceDN w:val="0"/>
        <w:bidi w:val="0"/>
        <w:adjustRightInd w:val="0"/>
        <w:snapToGrid w:val="0"/>
        <w:spacing w:line="660" w:lineRule="exact"/>
        <w:jc w:val="left"/>
        <w:textAlignment w:val="baseline"/>
        <w:rPr>
          <w:rFonts w:hint="eastAsia" w:ascii="仿宋_GB2312" w:hAnsi="仿宋_GB2312" w:eastAsia="仿宋_GB2312" w:cs="仿宋_GB2312"/>
          <w:b w:val="0"/>
          <w:bCs w:val="0"/>
          <w:snapToGrid w:val="0"/>
          <w:color w:val="000000"/>
          <w:kern w:val="0"/>
          <w:sz w:val="32"/>
          <w:szCs w:val="32"/>
          <w:lang w:val="en-US" w:eastAsia="zh-CN"/>
          <w14:ligatures w14:val="none"/>
        </w:rPr>
      </w:pPr>
      <w:r>
        <w:rPr>
          <w:rFonts w:hint="eastAsia" w:ascii="仿宋_GB2312" w:hAnsi="仿宋_GB2312" w:eastAsia="仿宋_GB2312" w:cs="仿宋_GB2312"/>
          <w:b/>
          <w:bCs/>
          <w:snapToGrid w:val="0"/>
          <w:color w:val="000000"/>
          <w:kern w:val="0"/>
          <w:sz w:val="32"/>
          <w:szCs w:val="32"/>
          <w:lang w:val="en-US" w:eastAsia="zh-CN"/>
          <w14:ligatures w14:val="none"/>
        </w:rPr>
        <w:t>当事人名称：</w:t>
      </w:r>
      <w:r>
        <w:rPr>
          <w:rFonts w:hint="eastAsia" w:ascii="仿宋_GB2312" w:hAnsi="仿宋_GB2312" w:eastAsia="仿宋_GB2312" w:cs="仿宋_GB2312"/>
          <w:b w:val="0"/>
          <w:bCs w:val="0"/>
          <w:snapToGrid w:val="0"/>
          <w:color w:val="000000"/>
          <w:kern w:val="0"/>
          <w:sz w:val="32"/>
          <w:szCs w:val="32"/>
          <w:lang w:val="en-US" w:eastAsia="zh-CN"/>
          <w14:ligatures w14:val="none"/>
        </w:rPr>
        <w:t xml:space="preserve">内蒙古新大洲能源科技有限公司 </w:t>
      </w:r>
    </w:p>
    <w:p w14:paraId="012D506D">
      <w:pPr>
        <w:keepNext w:val="0"/>
        <w:keepLines w:val="0"/>
        <w:pageBreakBefore w:val="0"/>
        <w:widowControl/>
        <w:kinsoku w:val="0"/>
        <w:wordWrap/>
        <w:overflowPunct/>
        <w:topLinePunct w:val="0"/>
        <w:autoSpaceDE w:val="0"/>
        <w:autoSpaceDN w:val="0"/>
        <w:bidi w:val="0"/>
        <w:adjustRightInd w:val="0"/>
        <w:snapToGrid w:val="0"/>
        <w:spacing w:line="660" w:lineRule="exact"/>
        <w:jc w:val="left"/>
        <w:textAlignment w:val="baseline"/>
        <w:rPr>
          <w:rFonts w:hint="eastAsia" w:ascii="仿宋_GB2312" w:hAnsi="仿宋_GB2312" w:eastAsia="仿宋_GB2312" w:cs="仿宋_GB2312"/>
          <w:b w:val="0"/>
          <w:bCs w:val="0"/>
          <w:snapToGrid w:val="0"/>
          <w:color w:val="000000"/>
          <w:kern w:val="0"/>
          <w:sz w:val="32"/>
          <w:szCs w:val="32"/>
          <w:lang w:val="en-US" w:eastAsia="zh-CN"/>
          <w14:ligatures w14:val="none"/>
        </w:rPr>
      </w:pPr>
      <w:r>
        <w:rPr>
          <w:rFonts w:hint="eastAsia" w:ascii="仿宋_GB2312" w:hAnsi="仿宋_GB2312" w:eastAsia="仿宋_GB2312" w:cs="仿宋_GB2312"/>
          <w:b/>
          <w:bCs/>
          <w:snapToGrid w:val="0"/>
          <w:color w:val="000000"/>
          <w:kern w:val="0"/>
          <w:sz w:val="32"/>
          <w:szCs w:val="32"/>
          <w:lang w:val="en-US" w:eastAsia="zh-CN"/>
          <w14:ligatures w14:val="none"/>
        </w:rPr>
        <w:t>法定代表人：</w:t>
      </w:r>
      <w:r>
        <w:rPr>
          <w:rFonts w:hint="eastAsia" w:ascii="仿宋_GB2312" w:hAnsi="仿宋_GB2312" w:eastAsia="仿宋_GB2312" w:cs="仿宋_GB2312"/>
          <w:b w:val="0"/>
          <w:bCs w:val="0"/>
          <w:snapToGrid w:val="0"/>
          <w:color w:val="000000"/>
          <w:kern w:val="0"/>
          <w:sz w:val="32"/>
          <w:szCs w:val="32"/>
          <w:lang w:val="en-US" w:eastAsia="zh-CN"/>
          <w14:ligatures w14:val="none"/>
        </w:rPr>
        <w:t>易均</w:t>
      </w:r>
    </w:p>
    <w:p w14:paraId="0BBBC34D">
      <w:pPr>
        <w:keepNext w:val="0"/>
        <w:keepLines w:val="0"/>
        <w:pageBreakBefore w:val="0"/>
        <w:widowControl/>
        <w:kinsoku w:val="0"/>
        <w:wordWrap/>
        <w:overflowPunct/>
        <w:topLinePunct w:val="0"/>
        <w:autoSpaceDE w:val="0"/>
        <w:autoSpaceDN w:val="0"/>
        <w:bidi w:val="0"/>
        <w:adjustRightInd w:val="0"/>
        <w:snapToGrid w:val="0"/>
        <w:spacing w:line="660" w:lineRule="exact"/>
        <w:jc w:val="left"/>
        <w:textAlignment w:val="baseline"/>
        <w:rPr>
          <w:rFonts w:hint="eastAsia" w:ascii="仿宋_GB2312" w:hAnsi="仿宋_GB2312" w:eastAsia="仿宋_GB2312" w:cs="仿宋_GB2312"/>
          <w:b w:val="0"/>
          <w:bCs w:val="0"/>
          <w:snapToGrid w:val="0"/>
          <w:color w:val="000000"/>
          <w:kern w:val="0"/>
          <w:sz w:val="32"/>
          <w:szCs w:val="32"/>
          <w:lang w:val="en-US" w:eastAsia="zh-CN"/>
          <w14:ligatures w14:val="none"/>
        </w:rPr>
      </w:pPr>
      <w:r>
        <w:rPr>
          <w:rFonts w:hint="eastAsia" w:ascii="仿宋_GB2312" w:hAnsi="仿宋_GB2312" w:eastAsia="仿宋_GB2312" w:cs="仿宋_GB2312"/>
          <w:b/>
          <w:bCs/>
          <w:snapToGrid w:val="0"/>
          <w:color w:val="000000"/>
          <w:kern w:val="0"/>
          <w:sz w:val="32"/>
          <w:szCs w:val="32"/>
          <w:lang w:val="en-US" w:eastAsia="zh-CN"/>
          <w14:ligatures w14:val="none"/>
        </w:rPr>
        <w:t>统一社会信用代码：</w:t>
      </w:r>
      <w:r>
        <w:rPr>
          <w:rFonts w:hint="eastAsia" w:ascii="仿宋_GB2312" w:hAnsi="仿宋_GB2312" w:eastAsia="仿宋_GB2312" w:cs="仿宋_GB2312"/>
          <w:b w:val="0"/>
          <w:bCs w:val="0"/>
          <w:snapToGrid w:val="0"/>
          <w:color w:val="000000"/>
          <w:kern w:val="0"/>
          <w:sz w:val="32"/>
          <w:szCs w:val="32"/>
          <w:lang w:val="en-US" w:eastAsia="zh-CN"/>
          <w14:ligatures w14:val="none"/>
        </w:rPr>
        <w:t>911507827830170511</w:t>
      </w:r>
    </w:p>
    <w:p w14:paraId="090E4083">
      <w:pPr>
        <w:keepNext w:val="0"/>
        <w:keepLines w:val="0"/>
        <w:pageBreakBefore w:val="0"/>
        <w:widowControl/>
        <w:kinsoku w:val="0"/>
        <w:wordWrap/>
        <w:overflowPunct/>
        <w:topLinePunct w:val="0"/>
        <w:autoSpaceDE w:val="0"/>
        <w:autoSpaceDN w:val="0"/>
        <w:bidi w:val="0"/>
        <w:adjustRightInd w:val="0"/>
        <w:snapToGrid w:val="0"/>
        <w:spacing w:line="660" w:lineRule="exact"/>
        <w:jc w:val="left"/>
        <w:textAlignment w:val="baseline"/>
        <w:rPr>
          <w:rFonts w:hint="eastAsia" w:ascii="仿宋_GB2312" w:hAnsi="仿宋_GB2312" w:eastAsia="仿宋_GB2312" w:cs="仿宋_GB2312"/>
          <w:b w:val="0"/>
          <w:bCs w:val="0"/>
          <w:snapToGrid w:val="0"/>
          <w:color w:val="000000"/>
          <w:kern w:val="0"/>
          <w:sz w:val="18"/>
          <w:szCs w:val="18"/>
          <w:lang w:val="en-US" w:eastAsia="zh-CN"/>
          <w14:ligatures w14:val="none"/>
        </w:rPr>
      </w:pPr>
      <w:r>
        <w:rPr>
          <w:rFonts w:hint="eastAsia" w:ascii="仿宋_GB2312" w:hAnsi="仿宋_GB2312" w:eastAsia="仿宋_GB2312" w:cs="仿宋_GB2312"/>
          <w:b/>
          <w:bCs/>
          <w:snapToGrid w:val="0"/>
          <w:color w:val="000000"/>
          <w:kern w:val="0"/>
          <w:sz w:val="32"/>
          <w:szCs w:val="32"/>
          <w:lang w:val="en-US" w:eastAsia="zh-CN"/>
          <w14:ligatures w14:val="none"/>
        </w:rPr>
        <w:t>地址：</w:t>
      </w:r>
      <w:r>
        <w:rPr>
          <w:rFonts w:hint="eastAsia" w:ascii="仿宋_GB2312" w:hAnsi="仿宋_GB2312" w:eastAsia="仿宋_GB2312" w:cs="仿宋_GB2312"/>
          <w:b w:val="0"/>
          <w:bCs w:val="0"/>
          <w:snapToGrid w:val="0"/>
          <w:color w:val="000000"/>
          <w:kern w:val="0"/>
          <w:sz w:val="32"/>
          <w:szCs w:val="32"/>
          <w:lang w:val="en-US" w:eastAsia="zh-CN"/>
          <w14:ligatures w14:val="none"/>
        </w:rPr>
        <w:t>内蒙古自治区呼伦贝尔牙克石市汇流河电厂南</w:t>
      </w:r>
    </w:p>
    <w:p w14:paraId="5EBAEBBF">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val="0"/>
          <w:bCs w:val="0"/>
          <w:snapToGrid w:val="0"/>
          <w:color w:val="000000"/>
          <w:kern w:val="0"/>
          <w:sz w:val="32"/>
          <w:szCs w:val="32"/>
          <w:lang w:val="en-US" w:eastAsia="zh-CN"/>
          <w14:ligatures w14:val="none"/>
        </w:rPr>
        <w:t>我局于2025年1月6日对你单位进行了调查，发现你</w:t>
      </w:r>
      <w:r>
        <w:rPr>
          <w:rFonts w:hint="eastAsia" w:ascii="仿宋_GB2312" w:hAnsi="仿宋_GB2312" w:eastAsia="仿宋_GB2312" w:cs="仿宋_GB2312"/>
          <w:b w:val="0"/>
          <w:bCs w:val="0"/>
          <w:sz w:val="32"/>
          <w:szCs w:val="32"/>
        </w:rPr>
        <w:t>单</w:t>
      </w:r>
      <w:r>
        <w:rPr>
          <w:rFonts w:hint="eastAsia" w:ascii="仿宋_GB2312" w:hAnsi="仿宋_GB2312" w:eastAsia="仿宋_GB2312" w:cs="仿宋_GB2312"/>
          <w:sz w:val="32"/>
          <w:szCs w:val="32"/>
        </w:rPr>
        <w:t>位实施了以下生态环境违法行为：</w:t>
      </w:r>
    </w:p>
    <w:p w14:paraId="43F2DA79">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公司煤炭储运货场接受现场检查时处于运营状态，煤炭储运货场场区内有部分原煤未密闭。经牙克石市生态环境综合行政执法大队执法人员姜志刚（05030315034）、张春泽（05030315038）现场测量，你公司储运货场内未密闭的原煤占地面积共计11589平方米。</w:t>
      </w:r>
    </w:p>
    <w:p w14:paraId="56B436DC">
      <w:pPr>
        <w:keepNext w:val="0"/>
        <w:keepLines w:val="0"/>
        <w:pageBreakBefore w:val="0"/>
        <w:wordWrap/>
        <w:overflowPunct/>
        <w:bidi w:val="0"/>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napToGrid w:val="0"/>
          <w:color w:val="000000"/>
          <w:kern w:val="0"/>
          <w:sz w:val="32"/>
          <w:szCs w:val="32"/>
        </w:rPr>
        <w:t>违反法律规定的行为：</w:t>
      </w:r>
    </w:p>
    <w:p w14:paraId="5AA98D22">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未密闭易产生扬尘的物料。</w:t>
      </w:r>
    </w:p>
    <w:p w14:paraId="35982AD1">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以上事实，有以下主要证据证明：</w:t>
      </w:r>
      <w:r>
        <w:rPr>
          <w:rFonts w:hint="eastAsia" w:ascii="仿宋_GB2312" w:hAnsi="仿宋_GB2312" w:eastAsia="仿宋_GB2312" w:cs="仿宋_GB2312"/>
          <w:snapToGrid w:val="0"/>
          <w:color w:val="000000"/>
          <w:kern w:val="0"/>
          <w:sz w:val="32"/>
          <w:szCs w:val="32"/>
        </w:rPr>
        <w:t>1.呼伦贝尔市生态环境局现场检查（勘察）笔录1份（2025年1月15日9时10分至9时40分，证明对你单位存在的生产环境问题现场检查勘察情况）</w:t>
      </w:r>
    </w:p>
    <w:p w14:paraId="29AF691F">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2.呼伦贝尔市生态环境局调查询问笔录1份（2025年1月15日9时50分至10时20分，证明对你单位存在的生态环境问题进行询问调查）</w:t>
      </w:r>
    </w:p>
    <w:p w14:paraId="496091E5">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3.内蒙古新大洲能源科技有限公司现场拍摄照片4页（证明你单位未密闭贮存易产生扬尘的物料）</w:t>
      </w:r>
    </w:p>
    <w:p w14:paraId="18C9CA8C">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4.内蒙古新大洲能源科技有限公司与牙克石鑫驰运输有限公司签订的专用线使用合同复印件1份（证明你单位签订的专用线使用合同中应履行的生态环境责任）</w:t>
      </w:r>
    </w:p>
    <w:p w14:paraId="106C13DC">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5.内蒙古新大洲能源科技有限公司与呼伦贝尔贺达商贸有限公司签订的租赁协议复印件1份（证明你单位签订的租赁协议中应履行的生态环境责任）</w:t>
      </w:r>
    </w:p>
    <w:p w14:paraId="1D429ED7">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6.内蒙古新大洲能源科技有限公司营业执照复印件1份（证明你单位工商登记情况及市场主体资格）</w:t>
      </w:r>
    </w:p>
    <w:p w14:paraId="1FD44F43">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7.内蒙古新大洲能源科技有限公司法人身份证复印件1份（内蒙古新大洲能源科技有限公司李珏佐提供，证明你单位法定代表人身份信息）</w:t>
      </w:r>
    </w:p>
    <w:p w14:paraId="2EF176D0">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8.内蒙古新大洲能源科技有限公司法人授权委托书1份（证明你单位法定代表人授权委托李珏佐办理生态环境工作事宜）</w:t>
      </w:r>
    </w:p>
    <w:p w14:paraId="0067C941">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9.内蒙古新大洲能源科技有限公司经理李珏佐身份证复印件1份（证明你单位受委托人身份信息）</w:t>
      </w:r>
    </w:p>
    <w:p w14:paraId="28A0853A">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10.内蒙古新大洲能源科技有限公司储运煤场平面图1份（证明你单位地理位置信息）</w:t>
      </w:r>
    </w:p>
    <w:p w14:paraId="3123C7E8">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11.执法人员执法证件复印件1份（证明执法人员身份）</w:t>
      </w:r>
    </w:p>
    <w:p w14:paraId="44B8DC3C">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kern w:val="0"/>
          <w:sz w:val="32"/>
          <w:szCs w:val="32"/>
        </w:rPr>
        <w:t>你公司的上述行为违反《中华人民共和国大气污染防治法》第七十二条第一款“贮存煤炭、煤矸石、煤渣、煤灰、水泥、石灰、石膏、砂土等易产生扬尘的物料应当密闭；不能密闭的，应当设置不低于堆放物高度的严密围挡，并采取有效覆盖措施防治扬尘污染。</w:t>
      </w:r>
      <w:r>
        <w:rPr>
          <w:rFonts w:hint="eastAsia" w:ascii="仿宋_GB2312" w:hAnsi="仿宋_GB2312" w:eastAsia="仿宋_GB2312" w:cs="仿宋_GB2312"/>
          <w:sz w:val="32"/>
          <w:szCs w:val="32"/>
        </w:rPr>
        <w:t>”的规定。</w:t>
      </w:r>
    </w:p>
    <w:p w14:paraId="19363C19">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 xml:space="preserve">我局于2025年2月5日以《行政处罚听证告知书》（呼环罚告〔2025〕0305号）告知你公司享有陈述申辩权和听证权，你公司未提出申辩未申请听证。我局于2025年2月24日召开案审会。 </w:t>
      </w:r>
    </w:p>
    <w:p w14:paraId="50AC381D">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以上事实有《行政处罚事先（听证）告知书》（呼环罚告〔2025〕030</w:t>
      </w:r>
      <w:r>
        <w:rPr>
          <w:rFonts w:hint="eastAsia" w:ascii="仿宋_GB2312" w:hAnsi="仿宋_GB2312" w:eastAsia="仿宋_GB2312" w:cs="仿宋_GB2312"/>
          <w:snapToGrid w:val="0"/>
          <w:color w:val="000000"/>
          <w:kern w:val="0"/>
          <w:sz w:val="32"/>
          <w:szCs w:val="32"/>
          <w:lang w:val="en-US" w:eastAsia="zh-CN"/>
          <w14:ligatures w14:val="none"/>
        </w:rPr>
        <w:t>5</w:t>
      </w:r>
      <w:r>
        <w:rPr>
          <w:rFonts w:hint="eastAsia" w:ascii="仿宋_GB2312" w:hAnsi="仿宋_GB2312" w:eastAsia="仿宋_GB2312" w:cs="仿宋_GB2312"/>
          <w:snapToGrid w:val="0"/>
          <w:color w:val="000000"/>
          <w:kern w:val="0"/>
          <w:sz w:val="32"/>
          <w:szCs w:val="32"/>
          <w14:ligatures w14:val="none"/>
        </w:rPr>
        <w:t>号）、《送达回证》《内蒙古自治区生态环境系统行政处罚裁量基准规定（试行）》等为证。</w:t>
      </w:r>
    </w:p>
    <w:p w14:paraId="79F190BD">
      <w:pPr>
        <w:keepNext w:val="0"/>
        <w:keepLines w:val="0"/>
        <w:pageBreakBefore w:val="0"/>
        <w:widowControl/>
        <w:kinsoku w:val="0"/>
        <w:wordWrap/>
        <w:overflowPunct/>
        <w:autoSpaceDE w:val="0"/>
        <w:autoSpaceDN w:val="0"/>
        <w:bidi w:val="0"/>
        <w:adjustRightInd w:val="0"/>
        <w:snapToGrid w:val="0"/>
        <w:spacing w:line="560" w:lineRule="exact"/>
        <w:ind w:firstLine="640" w:firstLineChars="200"/>
        <w:jc w:val="left"/>
        <w:textAlignment w:val="baseline"/>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依据《中华人民共和国大气污染防治法》第一百一十七条第一项违反本法规定，有下列行为之一的，由县级以上人民政府生态环境主管部门按照职责责令改正，处一万元以上十万元以下的罚款；拒不改正的，责令停工整治或者停业整治：（一）未密闭煤炭、煤矸石、煤渣、煤灰、水泥、石灰、石膏、砂土等易产生扬尘的物料的；的规定予以处罚。</w:t>
      </w:r>
    </w:p>
    <w:p w14:paraId="56D461CE">
      <w:pPr>
        <w:keepNext w:val="0"/>
        <w:keepLines w:val="0"/>
        <w:pageBreakBefore w:val="0"/>
        <w:wordWrap/>
        <w:overflowPunct/>
        <w:topLine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依据《内蒙古自治区生态环境系统行政处罚裁量基准规定（试行）》裁量如下：</w:t>
      </w:r>
    </w:p>
    <w:p w14:paraId="2CB8EEDC">
      <w:pPr>
        <w:keepNext w:val="0"/>
        <w:keepLines w:val="0"/>
        <w:pageBreakBefore w:val="0"/>
        <w:wordWrap/>
        <w:overflow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bidi="ar"/>
        </w:rPr>
        <w:t>内蒙古新大洲能源科技有限公司</w:t>
      </w:r>
      <w:r>
        <w:rPr>
          <w:rFonts w:hint="eastAsia" w:ascii="仿宋_GB2312" w:hAnsi="仿宋_GB2312" w:eastAsia="仿宋_GB2312" w:cs="仿宋_GB2312"/>
          <w:sz w:val="32"/>
          <w:szCs w:val="32"/>
        </w:rPr>
        <w:t>未密闭易产生扬尘的物料，违反扬尘污染防治规定的环境违法行为，裁量区间1万元以上10万元以下的处罚额度。</w:t>
      </w:r>
    </w:p>
    <w:p w14:paraId="4DB02B4A">
      <w:pPr>
        <w:keepNext w:val="0"/>
        <w:keepLines w:val="0"/>
        <w:pageBreakBefore w:val="0"/>
        <w:wordWrap/>
        <w:overflowPunct/>
        <w:topLine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你单位物料数量为11589平方米，数量＞500平方米，裁量区间为5万元以上，10万元以下，处罚款柒万陆仟元。</w:t>
      </w:r>
    </w:p>
    <w:p w14:paraId="7A7986A7">
      <w:pPr>
        <w:keepNext w:val="0"/>
        <w:keepLines w:val="0"/>
        <w:pageBreakBefore w:val="0"/>
        <w:wordWrap/>
        <w:overflowPunct/>
        <w:topLine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我局对你单位作出如下行政处罚：</w:t>
      </w:r>
    </w:p>
    <w:p w14:paraId="232FAD88">
      <w:pPr>
        <w:keepNext w:val="0"/>
        <w:keepLines w:val="0"/>
        <w:pageBreakBefore w:val="0"/>
        <w:wordWrap/>
        <w:overflowPunct/>
        <w:topLinePunct/>
        <w:bidi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w:t>
      </w:r>
      <w:r>
        <w:rPr>
          <w:rFonts w:hint="eastAsia" w:ascii="仿宋_GB2312" w:hAnsi="仿宋_GB2312" w:eastAsia="仿宋_GB2312" w:cs="仿宋_GB2312"/>
          <w:kern w:val="0"/>
          <w:sz w:val="32"/>
          <w:szCs w:val="32"/>
          <w:lang w:bidi="ar"/>
        </w:rPr>
        <w:t>内蒙古新大洲能源科技有限公司</w:t>
      </w:r>
      <w:r>
        <w:rPr>
          <w:rFonts w:hint="eastAsia" w:ascii="仿宋_GB2312" w:hAnsi="仿宋_GB2312" w:eastAsia="仿宋_GB2312" w:cs="仿宋_GB2312"/>
          <w:snapToGrid w:val="0"/>
          <w:color w:val="000000"/>
          <w:kern w:val="0"/>
          <w:sz w:val="32"/>
          <w:szCs w:val="32"/>
        </w:rPr>
        <w:t>未密闭易产生扬尘的物料</w:t>
      </w:r>
      <w:r>
        <w:rPr>
          <w:rFonts w:hint="eastAsia" w:ascii="仿宋_GB2312" w:hAnsi="仿宋_GB2312" w:eastAsia="仿宋_GB2312" w:cs="仿宋_GB2312"/>
          <w:sz w:val="32"/>
          <w:szCs w:val="32"/>
        </w:rPr>
        <w:t>的违法行为处以罚款柒万陆仟（76000.00）元整。</w:t>
      </w:r>
    </w:p>
    <w:p w14:paraId="1D3C301F">
      <w:pPr>
        <w:keepNext w:val="0"/>
        <w:keepLines w:val="0"/>
        <w:pageBreakBefore w:val="0"/>
        <w:wordWrap/>
        <w:overflowPunct/>
        <w:bidi w:val="0"/>
        <w:adjustRightInd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90ED4A7">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你单位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3900D7C5">
      <w:pPr>
        <w:keepNext w:val="0"/>
        <w:keepLines w:val="0"/>
        <w:pageBreakBefore w:val="0"/>
        <w:wordWrap/>
        <w:overflowPunct/>
        <w:bidi w:val="0"/>
        <w:snapToGrid w:val="0"/>
        <w:spacing w:line="560" w:lineRule="exact"/>
        <w:ind w:firstLine="640" w:firstLineChars="200"/>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逾期不申请行政复议，不提起行政诉讼，又不履行本处罚决定的，我局将依法申请人民法院强制执行。</w:t>
      </w:r>
    </w:p>
    <w:p w14:paraId="706276E2">
      <w:pPr>
        <w:keepNext w:val="0"/>
        <w:keepLines w:val="0"/>
        <w:pageBreakBefore w:val="0"/>
        <w:widowControl/>
        <w:kinsoku w:val="0"/>
        <w:wordWrap/>
        <w:overflowPunct/>
        <w:autoSpaceDE w:val="0"/>
        <w:autoSpaceDN w:val="0"/>
        <w:bidi w:val="0"/>
        <w:adjustRightInd w:val="0"/>
        <w:snapToGrid w:val="0"/>
        <w:spacing w:line="560" w:lineRule="exact"/>
        <w:jc w:val="left"/>
        <w:textAlignment w:val="baseline"/>
        <w:rPr>
          <w:rFonts w:ascii="Arial" w:hAnsi="Arial" w:eastAsia="Arial" w:cs="Arial"/>
          <w:snapToGrid w:val="0"/>
          <w:color w:val="000000"/>
          <w:kern w:val="0"/>
          <w:szCs w:val="21"/>
          <w14:ligatures w14:val="none"/>
        </w:rPr>
      </w:pPr>
    </w:p>
    <w:p w14:paraId="0C779F89">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14:ligatures w14:val="none"/>
        </w:rPr>
      </w:pPr>
    </w:p>
    <w:p w14:paraId="642FFFBE">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207305F9">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p>
    <w:p w14:paraId="77B8F526">
      <w:pPr>
        <w:widowControl/>
        <w:topLinePunct/>
        <w:autoSpaceDN w:val="0"/>
        <w:adjustRightInd w:val="0"/>
        <w:snapToGrid w:val="0"/>
        <w:spacing w:line="580" w:lineRule="exact"/>
        <w:ind w:firstLine="4800" w:firstLineChars="1500"/>
        <w:jc w:val="left"/>
        <w:textAlignment w:val="baseline"/>
        <w:rPr>
          <w:rFonts w:hint="eastAsia" w:ascii="仿宋_GB2312" w:hAnsi="仿宋_GB2312" w:eastAsia="仿宋_GB2312" w:cs="仿宋_GB2312"/>
          <w:snapToGrid w:val="0"/>
          <w:color w:val="000000"/>
          <w:kern w:val="0"/>
          <w:sz w:val="32"/>
          <w:szCs w:val="32"/>
          <w14:ligatures w14:val="none"/>
        </w:rPr>
      </w:pPr>
      <w:r>
        <w:rPr>
          <w:rFonts w:hint="eastAsia" w:ascii="仿宋_GB2312" w:hAnsi="仿宋_GB2312" w:eastAsia="仿宋_GB2312" w:cs="仿宋_GB2312"/>
          <w:snapToGrid w:val="0"/>
          <w:color w:val="000000"/>
          <w:kern w:val="0"/>
          <w:sz w:val="32"/>
          <w:szCs w:val="32"/>
          <w14:ligatures w14:val="none"/>
        </w:rPr>
        <w:t xml:space="preserve">呼伦贝尔市生态环境局        </w:t>
      </w:r>
    </w:p>
    <w:p w14:paraId="0DA1AEE4">
      <w:pPr>
        <w:widowControl/>
        <w:topLinePunct/>
        <w:autoSpaceDN w:val="0"/>
        <w:adjustRightInd w:val="0"/>
        <w:snapToGrid w:val="0"/>
        <w:spacing w:line="580" w:lineRule="exact"/>
        <w:ind w:firstLine="5440" w:firstLineChars="1700"/>
        <w:jc w:val="left"/>
        <w:textAlignment w:val="baseline"/>
        <w:rPr>
          <w:rFonts w:ascii="Arial" w:hAnsi="Arial" w:eastAsia="Arial" w:cs="Arial"/>
          <w:snapToGrid w:val="0"/>
          <w:color w:val="000000"/>
          <w:kern w:val="0"/>
          <w:szCs w:val="21"/>
          <w:lang w:eastAsia="en-US"/>
          <w14:ligatures w14:val="none"/>
        </w:rPr>
      </w:pPr>
      <w:r>
        <w:rPr>
          <w:rFonts w:hint="eastAsia" w:ascii="仿宋_GB2312" w:hAnsi="仿宋_GB2312" w:eastAsia="仿宋_GB2312" w:cs="仿宋_GB2312"/>
          <w:snapToGrid w:val="0"/>
          <w:color w:val="000000"/>
          <w:kern w:val="0"/>
          <w:sz w:val="32"/>
          <w:szCs w:val="32"/>
          <w14:ligatures w14:val="none"/>
        </w:rPr>
        <w:t>2025</w:t>
      </w:r>
      <w:r>
        <w:rPr>
          <w:rFonts w:hint="eastAsia" w:ascii="仿宋_GB2312" w:hAnsi="仿宋_GB2312" w:eastAsia="仿宋_GB2312" w:cs="仿宋_GB2312"/>
          <w:snapToGrid w:val="0"/>
          <w:color w:val="000000"/>
          <w:kern w:val="0"/>
          <w:sz w:val="32"/>
          <w:szCs w:val="32"/>
          <w:lang w:eastAsia="en-US"/>
          <w14:ligatures w14:val="none"/>
        </w:rPr>
        <w:t>年</w:t>
      </w:r>
      <w:r>
        <w:rPr>
          <w:rFonts w:hint="eastAsia" w:ascii="仿宋_GB2312" w:hAnsi="仿宋_GB2312" w:eastAsia="仿宋_GB2312" w:cs="仿宋_GB2312"/>
          <w:snapToGrid w:val="0"/>
          <w:color w:val="000000"/>
          <w:kern w:val="0"/>
          <w:sz w:val="32"/>
          <w:szCs w:val="32"/>
          <w14:ligatures w14:val="none"/>
        </w:rPr>
        <w:t>3</w:t>
      </w:r>
      <w:r>
        <w:rPr>
          <w:rFonts w:hint="eastAsia" w:ascii="仿宋_GB2312" w:hAnsi="仿宋_GB2312" w:eastAsia="仿宋_GB2312" w:cs="仿宋_GB2312"/>
          <w:snapToGrid w:val="0"/>
          <w:color w:val="000000"/>
          <w:kern w:val="0"/>
          <w:sz w:val="32"/>
          <w:szCs w:val="32"/>
          <w:lang w:eastAsia="en-US"/>
          <w14:ligatures w14:val="none"/>
        </w:rPr>
        <w:t>月</w:t>
      </w:r>
      <w:r>
        <w:rPr>
          <w:rFonts w:hint="eastAsia" w:ascii="仿宋_GB2312" w:hAnsi="仿宋_GB2312" w:eastAsia="仿宋_GB2312" w:cs="仿宋_GB2312"/>
          <w:snapToGrid w:val="0"/>
          <w:color w:val="000000"/>
          <w:kern w:val="0"/>
          <w:sz w:val="32"/>
          <w:szCs w:val="32"/>
          <w14:ligatures w14:val="none"/>
        </w:rPr>
        <w:t>2</w:t>
      </w:r>
      <w:r>
        <w:rPr>
          <w:rFonts w:hint="eastAsia" w:ascii="仿宋_GB2312" w:hAnsi="仿宋_GB2312" w:eastAsia="仿宋_GB2312" w:cs="仿宋_GB2312"/>
          <w:snapToGrid w:val="0"/>
          <w:color w:val="000000"/>
          <w:kern w:val="0"/>
          <w:sz w:val="32"/>
          <w:szCs w:val="32"/>
          <w:lang w:val="en-US" w:eastAsia="zh-CN"/>
          <w14:ligatures w14:val="none"/>
        </w:rPr>
        <w:t>9</w:t>
      </w:r>
      <w:bookmarkStart w:id="0" w:name="_GoBack"/>
      <w:bookmarkEnd w:id="0"/>
      <w:r>
        <w:rPr>
          <w:rFonts w:hint="eastAsia" w:ascii="仿宋_GB2312" w:hAnsi="仿宋_GB2312" w:eastAsia="仿宋_GB2312" w:cs="仿宋_GB2312"/>
          <w:snapToGrid w:val="0"/>
          <w:color w:val="000000"/>
          <w:kern w:val="0"/>
          <w:sz w:val="32"/>
          <w:szCs w:val="32"/>
          <w14:ligatures w14:val="none"/>
        </w:rPr>
        <w:t>日</w:t>
      </w:r>
    </w:p>
    <w:p w14:paraId="0EBF0C84">
      <w:pPr>
        <w:widowControl/>
        <w:kinsoku w:val="0"/>
        <w:autoSpaceDE w:val="0"/>
        <w:autoSpaceDN w:val="0"/>
        <w:adjustRightInd w:val="0"/>
        <w:snapToGrid w:val="0"/>
        <w:spacing w:line="580" w:lineRule="exact"/>
        <w:jc w:val="left"/>
        <w:textAlignment w:val="baseline"/>
        <w:rPr>
          <w:rFonts w:ascii="Arial" w:hAnsi="Arial" w:eastAsia="Arial" w:cs="Arial"/>
          <w:snapToGrid w:val="0"/>
          <w:color w:val="000000"/>
          <w:kern w:val="0"/>
          <w:szCs w:val="21"/>
          <w:lang w:eastAsia="en-US"/>
          <w14:ligatures w14:val="none"/>
        </w:rPr>
      </w:pPr>
    </w:p>
    <w:p w14:paraId="33765B50">
      <w:pPr>
        <w:rPr>
          <w:rFonts w:hint="eastAsi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CCC5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A6B554">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A6B554">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9E6"/>
    <w:rsid w:val="00272902"/>
    <w:rsid w:val="009B19E6"/>
    <w:rsid w:val="0797489E"/>
    <w:rsid w:val="189866C8"/>
    <w:rsid w:val="206F7D0E"/>
    <w:rsid w:val="3FF12096"/>
    <w:rsid w:val="406D3E12"/>
    <w:rsid w:val="56474B1D"/>
    <w:rsid w:val="5E1B45C5"/>
    <w:rsid w:val="7B0325F4"/>
    <w:rsid w:val="7EC43B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1711</Words>
  <Characters>1825</Characters>
  <Lines>13</Lines>
  <Paragraphs>3</Paragraphs>
  <TotalTime>6</TotalTime>
  <ScaleCrop>false</ScaleCrop>
  <LinksUpToDate>false</LinksUpToDate>
  <CharactersWithSpaces>1835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2025-04-02T03:30:00Z</dcterms:created>
  <dc:creator>方宁 赵</dc:creator>
  <cp:lastModifiedBy>a1 nits</cp:lastModifiedBy>
  <cp:lastPrinted>2025-04-07T03:35:00Z</cp:lastPrinted>
  <dcterms:modified xsi:type="dcterms:W3CDTF">2025-04-07T07:21:24Z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eyJoZGlkIjoiMTJhYWM5ZDE0OGVhYjFlNGVlM2MwNzkzZjdkZTdlZDQiLCJ1c2VySWQiOiI4MDUxNzE3MDgifQ==</vt:lpwstr>
  </property>
  <property fmtid="{D5CDD505-2E9C-101B-9397-08002B2CF9AE}" pid="3" name="KSOProductBuildVer">
    <vt:lpwstr>2052-12.1.0.20305</vt:lpwstr>
  </property>
  <property fmtid="{D5CDD505-2E9C-101B-9397-08002B2CF9AE}" pid="4" name="ICV">
    <vt:lpwstr>975FB96895FD46BFBE16C7E0BC572D4E_13</vt:lpwstr>
  </property>
</Properties>
</file>