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DE0126">
      <w:pPr>
        <w:widowControl/>
        <w:kinsoku w:val="0"/>
        <w:autoSpaceDE w:val="0"/>
        <w:autoSpaceDN w:val="0"/>
        <w:adjustRightInd w:val="0"/>
        <w:snapToGrid w:val="0"/>
        <w:spacing w:line="800" w:lineRule="exact"/>
        <w:jc w:val="center"/>
        <w:textAlignment w:val="baseline"/>
        <w:rPr>
          <w:rFonts w:hint="eastAsia" w:ascii="方正小标宋简体" w:hAnsi="方正小标宋简体" w:eastAsia="方正小标宋简体" w:cs="方正小标宋简体"/>
          <w:bCs/>
          <w:snapToGrid w:val="0"/>
          <w:color w:val="000000"/>
          <w:sz w:val="44"/>
          <w:szCs w:val="44"/>
          <w14:ligatures w14:val="none"/>
        </w:rPr>
      </w:pPr>
      <w:r>
        <w:rPr>
          <w:rFonts w:hint="eastAsia" w:ascii="方正小标宋简体" w:hAnsi="方正小标宋简体" w:eastAsia="方正小标宋简体" w:cs="方正小标宋简体"/>
          <w:bCs/>
          <w:snapToGrid w:val="0"/>
          <w:color w:val="000000"/>
          <w:sz w:val="44"/>
          <w:szCs w:val="44"/>
          <w14:ligatures w14:val="none"/>
        </w:rPr>
        <w:t>呼伦贝尔市生态环境局</w:t>
      </w:r>
    </w:p>
    <w:p w14:paraId="75DEBB62">
      <w:pPr>
        <w:widowControl/>
        <w:kinsoku w:val="0"/>
        <w:autoSpaceDE w:val="0"/>
        <w:autoSpaceDN w:val="0"/>
        <w:adjustRightInd w:val="0"/>
        <w:snapToGrid w:val="0"/>
        <w:spacing w:line="800" w:lineRule="exact"/>
        <w:jc w:val="center"/>
        <w:textAlignment w:val="baseline"/>
        <w:rPr>
          <w:rFonts w:hint="eastAsia" w:ascii="方正小标宋简体" w:hAnsi="方正小标宋简体" w:eastAsia="方正小标宋简体" w:cs="方正小标宋简体"/>
          <w:bCs/>
          <w:snapToGrid w:val="0"/>
          <w:color w:val="000000"/>
          <w:kern w:val="0"/>
          <w:sz w:val="44"/>
          <w:szCs w:val="44"/>
          <w14:ligatures w14:val="none"/>
        </w:rPr>
      </w:pPr>
      <w:r>
        <w:rPr>
          <w:rFonts w:hint="eastAsia" w:ascii="方正小标宋简体" w:hAnsi="方正小标宋简体" w:eastAsia="方正小标宋简体" w:cs="方正小标宋简体"/>
          <w:bCs/>
          <w:snapToGrid w:val="0"/>
          <w:color w:val="000000"/>
          <w:kern w:val="0"/>
          <w:sz w:val="44"/>
          <w:szCs w:val="44"/>
          <w14:ligatures w14:val="none"/>
        </w:rPr>
        <w:t>行政处罚决定书</w:t>
      </w:r>
    </w:p>
    <w:p w14:paraId="54F97225">
      <w:pPr>
        <w:widowControl/>
        <w:kinsoku w:val="0"/>
        <w:autoSpaceDE w:val="0"/>
        <w:autoSpaceDN w:val="0"/>
        <w:adjustRightInd w:val="0"/>
        <w:snapToGrid w:val="0"/>
        <w:spacing w:line="760" w:lineRule="exact"/>
        <w:ind w:firstLine="2570" w:firstLineChars="800"/>
        <w:jc w:val="both"/>
        <w:textAlignment w:val="baseline"/>
        <w:rPr>
          <w:rFonts w:hint="eastAsia" w:ascii="仿宋_GB2312" w:hAnsi="仿宋_GB2312" w:eastAsia="仿宋_GB2312" w:cs="仿宋_GB2312"/>
          <w:b/>
          <w:bCs/>
          <w:snapToGrid w:val="0"/>
          <w:color w:val="000000"/>
          <w:kern w:val="0"/>
          <w:sz w:val="24"/>
          <w:szCs w:val="24"/>
          <w14:ligatures w14:val="none"/>
        </w:rPr>
      </w:pPr>
      <w:r>
        <w:rPr>
          <w:rFonts w:hint="eastAsia" w:ascii="仿宋_GB2312" w:hAnsi="仿宋_GB2312" w:eastAsia="仿宋_GB2312" w:cs="仿宋_GB2312"/>
          <w:b/>
          <w:bCs/>
          <w:snapToGrid w:val="0"/>
          <w:color w:val="000000"/>
          <w:kern w:val="0"/>
          <w:sz w:val="32"/>
          <w:szCs w:val="32"/>
          <w14:ligatures w14:val="none"/>
        </w:rPr>
        <w:t>呼环罚〔2025〕030</w:t>
      </w:r>
      <w:r>
        <w:rPr>
          <w:rFonts w:hint="eastAsia" w:ascii="仿宋_GB2312" w:hAnsi="仿宋_GB2312" w:eastAsia="仿宋_GB2312" w:cs="仿宋_GB2312"/>
          <w:b/>
          <w:bCs/>
          <w:snapToGrid w:val="0"/>
          <w:color w:val="000000"/>
          <w:kern w:val="0"/>
          <w:sz w:val="32"/>
          <w:szCs w:val="32"/>
          <w:lang w:val="en-US" w:eastAsia="zh-CN"/>
          <w14:ligatures w14:val="none"/>
        </w:rPr>
        <w:t>7</w:t>
      </w:r>
      <w:r>
        <w:rPr>
          <w:rFonts w:hint="eastAsia" w:ascii="仿宋_GB2312" w:hAnsi="仿宋_GB2312" w:eastAsia="仿宋_GB2312" w:cs="仿宋_GB2312"/>
          <w:b/>
          <w:bCs/>
          <w:snapToGrid w:val="0"/>
          <w:color w:val="000000"/>
          <w:kern w:val="0"/>
          <w:sz w:val="32"/>
          <w:szCs w:val="32"/>
          <w14:ligatures w14:val="none"/>
        </w:rPr>
        <w:t>号</w:t>
      </w:r>
    </w:p>
    <w:p w14:paraId="5AAB2D05">
      <w:pPr>
        <w:numPr>
          <w:ilvl w:val="0"/>
          <w:numId w:val="0"/>
        </w:numPr>
        <w:spacing w:line="360" w:lineRule="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当事人名称：</w:t>
      </w:r>
      <w:r>
        <w:rPr>
          <w:rFonts w:hint="eastAsia" w:ascii="仿宋_GB2312" w:hAnsi="仿宋_GB2312" w:eastAsia="仿宋_GB2312" w:cs="仿宋_GB2312"/>
          <w:kern w:val="0"/>
          <w:sz w:val="32"/>
          <w:szCs w:val="32"/>
          <w:lang w:val="en-US" w:eastAsia="zh-CN"/>
        </w:rPr>
        <w:t>牙克石市益鼎物资经贸有限公司</w:t>
      </w:r>
      <w:r>
        <w:rPr>
          <w:rFonts w:hint="eastAsia" w:ascii="仿宋_GB2312" w:hAnsi="仿宋_GB2312" w:eastAsia="仿宋_GB2312" w:cs="仿宋_GB2312"/>
          <w:kern w:val="0"/>
          <w:sz w:val="32"/>
          <w:szCs w:val="32"/>
          <w:lang w:val="en-US" w:eastAsia="zh-CN" w:bidi="ar"/>
        </w:rPr>
        <w:t xml:space="preserve"> </w:t>
      </w:r>
    </w:p>
    <w:p w14:paraId="350BA115">
      <w:pPr>
        <w:numPr>
          <w:ilvl w:val="0"/>
          <w:numId w:val="0"/>
        </w:numPr>
        <w:spacing w:line="360" w:lineRule="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法定代表人：</w:t>
      </w:r>
      <w:r>
        <w:rPr>
          <w:rFonts w:hint="eastAsia" w:ascii="仿宋_GB2312" w:hAnsi="仿宋_GB2312" w:eastAsia="仿宋_GB2312" w:cs="仿宋_GB2312"/>
          <w:kern w:val="0"/>
          <w:sz w:val="32"/>
          <w:szCs w:val="32"/>
          <w:lang w:val="en-US" w:eastAsia="zh-CN"/>
        </w:rPr>
        <w:t>胡吉芳</w:t>
      </w:r>
    </w:p>
    <w:p w14:paraId="469AC7E5">
      <w:pPr>
        <w:numPr>
          <w:ilvl w:val="0"/>
          <w:numId w:val="0"/>
        </w:numPr>
        <w:spacing w:line="360" w:lineRule="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b/>
          <w:bCs/>
          <w:sz w:val="32"/>
          <w:szCs w:val="32"/>
          <w:lang w:val="en-US" w:eastAsia="zh-CN"/>
        </w:rPr>
        <w:t>统一社会信用代码</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kern w:val="0"/>
          <w:sz w:val="32"/>
          <w:szCs w:val="32"/>
          <w:lang w:val="en-US" w:eastAsia="zh-CN" w:bidi="ar"/>
        </w:rPr>
        <w:t>91150782597306087K</w:t>
      </w:r>
    </w:p>
    <w:p w14:paraId="764BBB9D">
      <w:pPr>
        <w:numPr>
          <w:ilvl w:val="0"/>
          <w:numId w:val="0"/>
        </w:numPr>
        <w:spacing w:line="360" w:lineRule="auto"/>
        <w:ind w:left="964" w:hanging="964" w:hangingChars="300"/>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b/>
          <w:bCs/>
          <w:sz w:val="32"/>
          <w:szCs w:val="32"/>
          <w:lang w:val="en-US" w:eastAsia="zh-CN"/>
        </w:rPr>
        <w:t>地址</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kern w:val="0"/>
          <w:sz w:val="32"/>
          <w:szCs w:val="32"/>
          <w:lang w:val="en-US" w:eastAsia="zh-CN"/>
        </w:rPr>
        <w:t>内蒙古牙克石市工业大街0188号</w:t>
      </w:r>
    </w:p>
    <w:p w14:paraId="5EBAEBBF">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left"/>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val="0"/>
          <w:bCs w:val="0"/>
          <w:snapToGrid w:val="0"/>
          <w:color w:val="000000"/>
          <w:kern w:val="0"/>
          <w:sz w:val="32"/>
          <w:szCs w:val="32"/>
          <w:lang w:val="en-US" w:eastAsia="zh-CN"/>
          <w14:ligatures w14:val="none"/>
        </w:rPr>
        <w:t>我局于2025年1月6日对你单位进行了调查，发现你</w:t>
      </w:r>
      <w:r>
        <w:rPr>
          <w:rFonts w:hint="eastAsia" w:ascii="仿宋_GB2312" w:hAnsi="仿宋_GB2312" w:eastAsia="仿宋_GB2312" w:cs="仿宋_GB2312"/>
          <w:b w:val="0"/>
          <w:bCs w:val="0"/>
          <w:sz w:val="32"/>
          <w:szCs w:val="32"/>
        </w:rPr>
        <w:t>单</w:t>
      </w:r>
      <w:r>
        <w:rPr>
          <w:rFonts w:hint="eastAsia" w:ascii="仿宋_GB2312" w:hAnsi="仿宋_GB2312" w:eastAsia="仿宋_GB2312" w:cs="仿宋_GB2312"/>
          <w:sz w:val="32"/>
          <w:szCs w:val="32"/>
        </w:rPr>
        <w:t>位实施了以下生态环境违法行为：</w:t>
      </w:r>
    </w:p>
    <w:p w14:paraId="05F58E4F">
      <w:pPr>
        <w:keepNext w:val="0"/>
        <w:keepLines w:val="0"/>
        <w:pageBreakBefore w:val="0"/>
        <w:widowControl/>
        <w:numPr>
          <w:ilvl w:val="0"/>
          <w:numId w:val="0"/>
        </w:numPr>
        <w:wordWrap/>
        <w:overflowPunct/>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你公司煤炭储运货场接受现场检查时处于运营状态，煤炭储运货场场区内有部分原煤未密闭。经牙克石市生态环境综合行政执法大队执法人员姜明华（05030315032）、王建（05030315031）现场测量，你公司储运货场内未密闭的原煤占地面积共计21085平方米。</w:t>
      </w:r>
    </w:p>
    <w:p w14:paraId="7086B895">
      <w:pPr>
        <w:keepNext w:val="0"/>
        <w:keepLines w:val="0"/>
        <w:pageBreakBefore w:val="0"/>
        <w:widowControl/>
        <w:numPr>
          <w:ilvl w:val="0"/>
          <w:numId w:val="0"/>
        </w:numPr>
        <w:wordWrap/>
        <w:overflowPunct/>
        <w:autoSpaceDN w:val="0"/>
        <w:bidi w:val="0"/>
        <w:adjustRightInd w:val="0"/>
        <w:snapToGrid w:val="0"/>
        <w:spacing w:line="560" w:lineRule="exact"/>
        <w:ind w:firstLine="643" w:firstLineChars="200"/>
        <w:textAlignment w:val="baseline"/>
        <w:rPr>
          <w:rFonts w:hint="eastAsia" w:ascii="仿宋_GB2312" w:hAnsi="仿宋_GB2312" w:eastAsia="仿宋_GB2312" w:cs="仿宋_GB2312"/>
          <w:b/>
          <w:bCs/>
          <w:snapToGrid w:val="0"/>
          <w:color w:val="000000"/>
          <w:kern w:val="0"/>
          <w:sz w:val="32"/>
          <w:szCs w:val="32"/>
          <w:lang w:val="en-US" w:eastAsia="zh-CN" w:bidi="ar-SA"/>
        </w:rPr>
      </w:pPr>
      <w:r>
        <w:rPr>
          <w:rFonts w:hint="eastAsia" w:ascii="仿宋_GB2312" w:hAnsi="仿宋_GB2312" w:eastAsia="仿宋_GB2312" w:cs="仿宋_GB2312"/>
          <w:b/>
          <w:bCs/>
          <w:snapToGrid w:val="0"/>
          <w:color w:val="000000"/>
          <w:kern w:val="0"/>
          <w:sz w:val="32"/>
          <w:szCs w:val="32"/>
          <w:lang w:val="en-US" w:eastAsia="zh-CN" w:bidi="ar-SA"/>
        </w:rPr>
        <w:t>违反法律规定的行为：</w:t>
      </w:r>
    </w:p>
    <w:p w14:paraId="2101557B">
      <w:pPr>
        <w:keepNext w:val="0"/>
        <w:keepLines w:val="0"/>
        <w:pageBreakBefore w:val="0"/>
        <w:widowControl/>
        <w:numPr>
          <w:ilvl w:val="0"/>
          <w:numId w:val="0"/>
        </w:numPr>
        <w:wordWrap/>
        <w:overflowPunct/>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napToGrid w:val="0"/>
          <w:color w:val="000000"/>
          <w:kern w:val="0"/>
          <w:sz w:val="32"/>
          <w:szCs w:val="32"/>
          <w:lang w:val="en-US" w:eastAsia="zh-CN" w:bidi="ar-SA"/>
        </w:rPr>
      </w:pPr>
      <w:r>
        <w:rPr>
          <w:rFonts w:hint="eastAsia" w:ascii="仿宋_GB2312" w:hAnsi="仿宋_GB2312" w:eastAsia="仿宋_GB2312" w:cs="仿宋_GB2312"/>
          <w:snapToGrid w:val="0"/>
          <w:color w:val="000000"/>
          <w:kern w:val="0"/>
          <w:sz w:val="32"/>
          <w:szCs w:val="32"/>
          <w:lang w:val="en-US" w:eastAsia="zh-CN" w:bidi="ar-SA"/>
        </w:rPr>
        <w:t>未密闭易产生扬尘的物料。</w:t>
      </w:r>
    </w:p>
    <w:p w14:paraId="4641855F">
      <w:pPr>
        <w:keepNext w:val="0"/>
        <w:keepLines w:val="0"/>
        <w:pageBreakBefore w:val="0"/>
        <w:widowControl/>
        <w:numPr>
          <w:ilvl w:val="0"/>
          <w:numId w:val="0"/>
        </w:numPr>
        <w:wordWrap/>
        <w:overflowPunct/>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以上事实，有以下主要证据证明：1.呼伦贝尔市生态环境局现场检查（勘察）笔录1份，2025年1月17日10时至10时30分由牙克石市益鼎物资经贸有限公司主任张乐签字确认。</w:t>
      </w:r>
    </w:p>
    <w:p w14:paraId="270AA5C8">
      <w:pPr>
        <w:keepNext w:val="0"/>
        <w:keepLines w:val="0"/>
        <w:pageBreakBefore w:val="0"/>
        <w:widowControl/>
        <w:numPr>
          <w:ilvl w:val="0"/>
          <w:numId w:val="0"/>
        </w:numPr>
        <w:wordWrap/>
        <w:overflowPunct/>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2.呼伦贝尔市生态环境局调查询问笔录1份，2025年1月17日10时30分至11时由牙克石市益鼎物资经贸有限公司主任张乐签字确认。</w:t>
      </w:r>
    </w:p>
    <w:p w14:paraId="0708931C">
      <w:pPr>
        <w:keepNext w:val="0"/>
        <w:keepLines w:val="0"/>
        <w:pageBreakBefore w:val="0"/>
        <w:widowControl/>
        <w:numPr>
          <w:ilvl w:val="0"/>
          <w:numId w:val="0"/>
        </w:numPr>
        <w:wordWrap/>
        <w:overflowPunct/>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呼伦贝尔市生态环境局牙克石市分局文件《关于加强牙克石市煤炭行业扬尘治理的通知》牙环字〔2022〕41号及会议签到簿，由牙克石市益鼎物资经贸有限公司主任张乐签字确认，证明该单位已经由法定代表人胡吉芳签收该通知。</w:t>
      </w:r>
    </w:p>
    <w:p w14:paraId="5560C8D3">
      <w:pPr>
        <w:keepNext w:val="0"/>
        <w:keepLines w:val="0"/>
        <w:pageBreakBefore w:val="0"/>
        <w:widowControl/>
        <w:numPr>
          <w:ilvl w:val="0"/>
          <w:numId w:val="0"/>
        </w:numPr>
        <w:wordWrap/>
        <w:overflowPunct/>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4.牙克石市益鼎物资经贸有限公司法定代表人胡吉芳身份证复印件，证明该单位法定代表人胡吉芳身份。</w:t>
      </w:r>
    </w:p>
    <w:p w14:paraId="6158B213">
      <w:pPr>
        <w:keepNext w:val="0"/>
        <w:keepLines w:val="0"/>
        <w:pageBreakBefore w:val="0"/>
        <w:widowControl/>
        <w:numPr>
          <w:ilvl w:val="0"/>
          <w:numId w:val="0"/>
        </w:numPr>
        <w:wordWrap/>
        <w:overflowPunct/>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5.牙克石市益鼎物资经贸有限公司营业执照复印件，证明该单位工商登记情况及市场主体资格。</w:t>
      </w:r>
    </w:p>
    <w:p w14:paraId="67FC5721">
      <w:pPr>
        <w:keepNext w:val="0"/>
        <w:keepLines w:val="0"/>
        <w:pageBreakBefore w:val="0"/>
        <w:widowControl/>
        <w:numPr>
          <w:ilvl w:val="0"/>
          <w:numId w:val="0"/>
        </w:numPr>
        <w:wordWrap/>
        <w:overflowPunct/>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6.授权委托书1份，证明该单位授权信息。</w:t>
      </w:r>
    </w:p>
    <w:p w14:paraId="0F495812">
      <w:pPr>
        <w:keepNext w:val="0"/>
        <w:keepLines w:val="0"/>
        <w:pageBreakBefore w:val="0"/>
        <w:widowControl/>
        <w:numPr>
          <w:ilvl w:val="0"/>
          <w:numId w:val="0"/>
        </w:numPr>
        <w:wordWrap/>
        <w:overflowPunct/>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7.牙克石市益鼎物资经贸有限公司主任张乐身份证复印件，证明受权人张乐身份。</w:t>
      </w:r>
    </w:p>
    <w:p w14:paraId="694B160E">
      <w:pPr>
        <w:keepNext w:val="0"/>
        <w:keepLines w:val="0"/>
        <w:pageBreakBefore w:val="0"/>
        <w:widowControl/>
        <w:numPr>
          <w:ilvl w:val="0"/>
          <w:numId w:val="0"/>
        </w:numPr>
        <w:wordWrap/>
        <w:overflowPunct/>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8.执法人员执法证件复印件1份，证明执法人员身份。</w:t>
      </w:r>
    </w:p>
    <w:p w14:paraId="4E357F8B">
      <w:pPr>
        <w:keepNext w:val="0"/>
        <w:keepLines w:val="0"/>
        <w:pageBreakBefore w:val="0"/>
        <w:widowControl/>
        <w:wordWrap/>
        <w:overflowPunct/>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napToGrid w:val="0"/>
          <w:color w:val="000000"/>
          <w:kern w:val="0"/>
          <w:sz w:val="32"/>
          <w:szCs w:val="32"/>
          <w:lang w:val="en-US" w:eastAsia="zh-CN" w:bidi="ar-SA"/>
        </w:rPr>
        <w:t>你公司的上述行为违反《中华人民共和国大气污染防治法》第七十二条第一款“贮存煤炭、煤矸石、煤渣、煤灰、水泥、石灰、石膏、砂土等易产生扬尘的物料应当密闭；不能密闭的，应当设置不低于堆放物高度的严密围挡，并采取有效覆盖措施防治扬尘污染。</w:t>
      </w:r>
      <w:r>
        <w:rPr>
          <w:rFonts w:hint="eastAsia" w:ascii="仿宋_GB2312" w:hAnsi="仿宋_GB2312" w:eastAsia="仿宋_GB2312" w:cs="仿宋_GB2312"/>
          <w:sz w:val="32"/>
          <w:szCs w:val="32"/>
          <w:lang w:val="en-US" w:eastAsia="zh-CN"/>
        </w:rPr>
        <w:t>”的规定。</w:t>
      </w:r>
    </w:p>
    <w:p w14:paraId="71CD7E63">
      <w:pPr>
        <w:keepNext w:val="0"/>
        <w:keepLines w:val="0"/>
        <w:pageBreakBefore w:val="0"/>
        <w:widowControl w:val="0"/>
        <w:kinsoku/>
        <w:wordWrap/>
        <w:overflowPunct/>
        <w:topLinePunct w:val="0"/>
        <w:autoSpaceDE/>
        <w:autoSpaceDN/>
        <w:bidi w:val="0"/>
        <w:snapToGrid w:val="0"/>
        <w:spacing w:line="56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我局于2025年2月5日以《行政处罚听证告知书》（呼环罚告〔2025〕0309号）告知你公司享有陈述申辩权和听证权，你公司于2025年2月10日签收并于2025年2月12日提交书面申辩材料。我局于2025年2月24日召开案审会，对申辩书中的核心申辩主张（1.请求适用“免罚清单”规定；2.替代方案建议；3.法律与政策依据补充）进行讨论，经讨论根据《内蒙古自治区生态环境系统行政处罚裁量基准规定（试行）》的相关规定该案件不在不予行政处罚范围内。根据《关于要求重点行业对易产生扬尘物料密闭贮存的通知》（2022029）和《关于加强牙克石市煤炭行业扬尘治理的通知》（牙环字〔2022〕41号）的文件要求及对你公司进行约谈时的要求，申请延期整改不可行。</w:t>
      </w:r>
    </w:p>
    <w:p w14:paraId="642C8BEC">
      <w:pPr>
        <w:keepNext w:val="0"/>
        <w:keepLines w:val="0"/>
        <w:pageBreakBefore w:val="0"/>
        <w:widowControl w:val="0"/>
        <w:kinsoku/>
        <w:wordWrap/>
        <w:overflowPunct/>
        <w:topLinePunct w:val="0"/>
        <w:autoSpaceDE/>
        <w:autoSpaceDN/>
        <w:bidi w:val="0"/>
        <w:snapToGrid w:val="0"/>
        <w:spacing w:line="56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以上事实有《行政处罚事先（听证）告知书》（呼环罚告〔2025〕0310号）、《送达回证》《内蒙古自治区生态环境系统行政处罚裁量基准规定（试行）》《关于要求重点行业对易产生扬尘物料密闭贮存的通知》（2022029）、《关于加强牙克石市煤炭行业扬尘治理的通知》（牙环字〔2022〕41号）和约谈记录（</w:t>
      </w:r>
      <w:r>
        <w:rPr>
          <w:rFonts w:hint="eastAsia" w:ascii="仿宋_GB2312" w:hAnsi="仿宋_GB2312" w:eastAsia="仿宋_GB2312" w:cs="仿宋_GB2312"/>
          <w:kern w:val="0"/>
          <w:sz w:val="32"/>
          <w:szCs w:val="32"/>
          <w:lang w:val="en-US" w:eastAsia="zh-CN"/>
        </w:rPr>
        <w:t>胡吉芳</w:t>
      </w:r>
      <w:r>
        <w:rPr>
          <w:rFonts w:hint="eastAsia" w:ascii="仿宋_GB2312" w:hAnsi="仿宋_GB2312" w:eastAsia="仿宋_GB2312" w:cs="仿宋_GB2312"/>
          <w:b w:val="0"/>
          <w:bCs w:val="0"/>
          <w:sz w:val="32"/>
          <w:szCs w:val="32"/>
          <w:lang w:val="en-US" w:eastAsia="zh-CN"/>
        </w:rPr>
        <w:t>签字）为证。</w:t>
      </w:r>
    </w:p>
    <w:p w14:paraId="186F78E5">
      <w:pPr>
        <w:keepNext w:val="0"/>
        <w:keepLines w:val="0"/>
        <w:pageBreakBefore w:val="0"/>
        <w:wordWrap/>
        <w:overflowPunct/>
        <w:bidi w:val="0"/>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依据</w:t>
      </w:r>
      <w:r>
        <w:rPr>
          <w:rFonts w:hint="eastAsia" w:ascii="仿宋_GB2312" w:hAnsi="仿宋_GB2312" w:eastAsia="仿宋_GB2312" w:cs="仿宋_GB2312"/>
          <w:snapToGrid w:val="0"/>
          <w:color w:val="000000"/>
          <w:kern w:val="0"/>
          <w:sz w:val="32"/>
          <w:szCs w:val="32"/>
          <w:lang w:val="en-US" w:eastAsia="zh-CN" w:bidi="ar-SA"/>
        </w:rPr>
        <w:t>《中华人民共和国大气污染防治法》第一百一十七条第一项违反本法规定，有下列行为之一的，由县级以上人民政府生态环境主管部门按照职责责令改正，处一万元以上十万元以下的罚款；拒不改正的，责令停工整治或者停业整治：（一）未密闭煤炭、煤矸石、煤渣、煤灰、水泥、石灰、石膏、砂土等易产生扬尘的物料</w:t>
      </w:r>
      <w:r>
        <w:rPr>
          <w:rFonts w:hint="eastAsia" w:ascii="仿宋_GB2312" w:hAnsi="仿宋_GB2312" w:eastAsia="仿宋_GB2312" w:cs="仿宋_GB2312"/>
          <w:sz w:val="32"/>
          <w:szCs w:val="32"/>
          <w:lang w:val="en-US" w:eastAsia="zh-CN"/>
        </w:rPr>
        <w:t>的规定予以处罚。</w:t>
      </w:r>
    </w:p>
    <w:p w14:paraId="5263389A">
      <w:pPr>
        <w:keepNext w:val="0"/>
        <w:keepLines w:val="0"/>
        <w:pageBreakBefore w:val="0"/>
        <w:widowControl/>
        <w:kinsoku/>
        <w:wordWrap/>
        <w:overflowPunct/>
        <w:topLinePunct/>
        <w:autoSpaceDE/>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依据《内蒙古自治区生态环境</w:t>
      </w:r>
      <w:r>
        <w:rPr>
          <w:rFonts w:hint="eastAsia" w:ascii="仿宋_GB2312" w:hAnsi="仿宋_GB2312" w:eastAsia="仿宋_GB2312" w:cs="仿宋_GB2312"/>
          <w:sz w:val="32"/>
          <w:szCs w:val="32"/>
          <w:lang w:eastAsia="zh-CN"/>
        </w:rPr>
        <w:t>系统</w:t>
      </w:r>
      <w:r>
        <w:rPr>
          <w:rFonts w:hint="eastAsia" w:ascii="仿宋_GB2312" w:hAnsi="仿宋_GB2312" w:eastAsia="仿宋_GB2312" w:cs="仿宋_GB2312"/>
          <w:sz w:val="32"/>
          <w:szCs w:val="32"/>
        </w:rPr>
        <w:t>行政处罚裁量基准规定（试行）》裁量如下：</w:t>
      </w:r>
    </w:p>
    <w:p w14:paraId="52389479">
      <w:pPr>
        <w:keepNext w:val="0"/>
        <w:keepLines w:val="0"/>
        <w:pageBreakBefore w:val="0"/>
        <w:widowControl/>
        <w:numPr>
          <w:ilvl w:val="0"/>
          <w:numId w:val="0"/>
        </w:numPr>
        <w:wordWrap/>
        <w:overflowPunct/>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牙克石市益鼎物资经贸有限公司未密闭易产生扬尘的物料，违反扬尘污染防治规定的环境违法行为，裁量区间1万元以上10万元以下的处罚额度。</w:t>
      </w:r>
    </w:p>
    <w:p w14:paraId="1667971F">
      <w:pPr>
        <w:keepNext w:val="0"/>
        <w:keepLines w:val="0"/>
        <w:pageBreakBefore w:val="0"/>
        <w:widowControl/>
        <w:numPr>
          <w:ilvl w:val="0"/>
          <w:numId w:val="0"/>
        </w:numPr>
        <w:wordWrap/>
        <w:overflowPunct/>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你单位物料数量为21085平方米，数量＞500平方米，裁量区间为5万元以上，10万元以下，处罚款玖万玖仟元。</w:t>
      </w:r>
    </w:p>
    <w:p w14:paraId="77E99839">
      <w:pPr>
        <w:keepNext w:val="0"/>
        <w:keepLines w:val="0"/>
        <w:pageBreakBefore w:val="0"/>
        <w:widowControl/>
        <w:numPr>
          <w:ilvl w:val="0"/>
          <w:numId w:val="0"/>
        </w:numPr>
        <w:wordWrap/>
        <w:overflowPunct/>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我局对你单位作出如下行政处罚：</w:t>
      </w:r>
    </w:p>
    <w:p w14:paraId="2A039D39">
      <w:pPr>
        <w:keepNext w:val="0"/>
        <w:keepLines w:val="0"/>
        <w:pageBreakBefore w:val="0"/>
        <w:wordWrap/>
        <w:overflowPunct/>
        <w:bidi w:val="0"/>
        <w:adjustRightInd w:val="0"/>
        <w:snapToGrid w:val="0"/>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对牙克石市益鼎物资经贸有限公司</w:t>
      </w:r>
      <w:r>
        <w:rPr>
          <w:rFonts w:hint="eastAsia" w:ascii="仿宋_GB2312" w:hAnsi="仿宋_GB2312" w:eastAsia="仿宋_GB2312" w:cs="仿宋_GB2312"/>
          <w:snapToGrid w:val="0"/>
          <w:color w:val="000000"/>
          <w:kern w:val="0"/>
          <w:sz w:val="32"/>
          <w:szCs w:val="32"/>
          <w:lang w:val="en-US" w:eastAsia="zh-CN" w:bidi="ar-SA"/>
        </w:rPr>
        <w:t>未密闭易产生扬尘的物料</w:t>
      </w:r>
      <w:r>
        <w:rPr>
          <w:rFonts w:hint="eastAsia" w:ascii="仿宋_GB2312" w:hAnsi="仿宋_GB2312" w:eastAsia="仿宋_GB2312" w:cs="仿宋_GB2312"/>
          <w:b w:val="0"/>
          <w:bCs w:val="0"/>
          <w:sz w:val="32"/>
          <w:szCs w:val="32"/>
          <w:lang w:val="en-US" w:eastAsia="zh-CN"/>
        </w:rPr>
        <w:t>的违法行为</w:t>
      </w:r>
      <w:r>
        <w:rPr>
          <w:rFonts w:hint="eastAsia" w:ascii="仿宋_GB2312" w:hAnsi="仿宋_GB2312" w:eastAsia="仿宋_GB2312" w:cs="仿宋_GB2312"/>
          <w:sz w:val="32"/>
          <w:szCs w:val="32"/>
          <w:lang w:val="en-US" w:eastAsia="zh-CN"/>
        </w:rPr>
        <w:t>处以罚款玖万玖仟（99000.00）元整。</w:t>
      </w:r>
    </w:p>
    <w:p w14:paraId="1D3C301F">
      <w:pPr>
        <w:keepNext w:val="0"/>
        <w:keepLines w:val="0"/>
        <w:pageBreakBefore w:val="0"/>
        <w:wordWrap/>
        <w:overflowPunct/>
        <w:bidi w:val="0"/>
        <w:adjustRightInd w:val="0"/>
        <w:snapToGrid w:val="0"/>
        <w:spacing w:line="560" w:lineRule="exact"/>
        <w:ind w:firstLine="640" w:firstLineChars="200"/>
        <w:rPr>
          <w:rFonts w:hint="eastAsia" w:ascii="仿宋_GB2312" w:hAnsi="仿宋_GB2312" w:eastAsia="仿宋_GB2312" w:cs="仿宋_GB2312"/>
          <w:snapToGrid w:val="0"/>
          <w:color w:val="000000"/>
          <w:kern w:val="0"/>
          <w:sz w:val="32"/>
          <w:szCs w:val="32"/>
          <w14:ligatures w14:val="none"/>
        </w:rPr>
      </w:pPr>
      <w:r>
        <w:rPr>
          <w:rFonts w:hint="eastAsia" w:ascii="仿宋_GB2312" w:hAnsi="仿宋_GB2312" w:eastAsia="仿宋_GB2312" w:cs="仿宋_GB2312"/>
          <w:snapToGrid w:val="0"/>
          <w:color w:val="000000"/>
          <w:kern w:val="0"/>
          <w:sz w:val="32"/>
          <w:szCs w:val="32"/>
          <w14:ligatures w14:val="none"/>
        </w:rPr>
        <w:t>限于接到本处罚决定之日起十五日内到指定的银行或者通过电子支付系统缴纳罚款。逾期不缴纳罚款的，我局可以根据《中华人民共和国行政处罚法》第七十二条第一款第一项规定每日按罚款数额的百分之三加处罚款。</w:t>
      </w:r>
    </w:p>
    <w:p w14:paraId="290ED4A7">
      <w:pPr>
        <w:keepNext w:val="0"/>
        <w:keepLines w:val="0"/>
        <w:pageBreakBefore w:val="0"/>
        <w:wordWrap/>
        <w:overflowPunct/>
        <w:bidi w:val="0"/>
        <w:snapToGrid w:val="0"/>
        <w:spacing w:line="560" w:lineRule="exact"/>
        <w:ind w:firstLine="640" w:firstLineChars="200"/>
        <w:rPr>
          <w:rFonts w:hint="eastAsia" w:ascii="仿宋_GB2312" w:hAnsi="仿宋_GB2312" w:eastAsia="仿宋_GB2312" w:cs="仿宋_GB2312"/>
          <w:snapToGrid w:val="0"/>
          <w:color w:val="000000"/>
          <w:kern w:val="0"/>
          <w:sz w:val="32"/>
          <w:szCs w:val="32"/>
          <w14:ligatures w14:val="none"/>
        </w:rPr>
      </w:pPr>
      <w:r>
        <w:rPr>
          <w:rFonts w:hint="eastAsia" w:ascii="仿宋_GB2312" w:hAnsi="仿宋_GB2312" w:eastAsia="仿宋_GB2312" w:cs="仿宋_GB2312"/>
          <w:snapToGrid w:val="0"/>
          <w:color w:val="000000"/>
          <w:kern w:val="0"/>
          <w:sz w:val="32"/>
          <w:szCs w:val="32"/>
          <w14:ligatures w14:val="none"/>
        </w:rPr>
        <w:t>你单位如不服本处罚决定，可在收到本处罚决定书之日起六十日内向呼伦贝尔市人民政府申请行政复议，也可以在六个月内向海拉尔铁路运输法院提起行政诉讼。申请行政复议或者提起行政诉讼，不停止行政处罚决定的执行。</w:t>
      </w:r>
    </w:p>
    <w:p w14:paraId="3900D7C5">
      <w:pPr>
        <w:keepNext w:val="0"/>
        <w:keepLines w:val="0"/>
        <w:pageBreakBefore w:val="0"/>
        <w:wordWrap/>
        <w:overflowPunct/>
        <w:bidi w:val="0"/>
        <w:snapToGrid w:val="0"/>
        <w:spacing w:line="560" w:lineRule="exact"/>
        <w:ind w:firstLine="640" w:firstLineChars="200"/>
        <w:rPr>
          <w:rFonts w:hint="eastAsia" w:ascii="仿宋_GB2312" w:hAnsi="仿宋_GB2312" w:eastAsia="仿宋_GB2312" w:cs="仿宋_GB2312"/>
          <w:snapToGrid w:val="0"/>
          <w:color w:val="000000"/>
          <w:kern w:val="0"/>
          <w:sz w:val="32"/>
          <w:szCs w:val="32"/>
          <w14:ligatures w14:val="none"/>
        </w:rPr>
      </w:pPr>
      <w:r>
        <w:rPr>
          <w:rFonts w:hint="eastAsia" w:ascii="仿宋_GB2312" w:hAnsi="仿宋_GB2312" w:eastAsia="仿宋_GB2312" w:cs="仿宋_GB2312"/>
          <w:snapToGrid w:val="0"/>
          <w:color w:val="000000"/>
          <w:kern w:val="0"/>
          <w:sz w:val="32"/>
          <w:szCs w:val="32"/>
          <w14:ligatures w14:val="none"/>
        </w:rPr>
        <w:t>逾期不申请行政复议，不提起行政诉讼，又不履行本处罚决定的，我局将依法申请人民法院强制执行。</w:t>
      </w:r>
    </w:p>
    <w:p w14:paraId="706276E2">
      <w:pPr>
        <w:keepNext w:val="0"/>
        <w:keepLines w:val="0"/>
        <w:pageBreakBefore w:val="0"/>
        <w:widowControl/>
        <w:kinsoku w:val="0"/>
        <w:wordWrap/>
        <w:overflowPunct/>
        <w:autoSpaceDE w:val="0"/>
        <w:autoSpaceDN w:val="0"/>
        <w:bidi w:val="0"/>
        <w:adjustRightInd w:val="0"/>
        <w:snapToGrid w:val="0"/>
        <w:spacing w:line="560" w:lineRule="exact"/>
        <w:jc w:val="left"/>
        <w:textAlignment w:val="baseline"/>
        <w:rPr>
          <w:rFonts w:hint="eastAsia" w:ascii="仿宋_GB2312" w:hAnsi="仿宋_GB2312" w:eastAsia="仿宋_GB2312" w:cs="仿宋_GB2312"/>
          <w:snapToGrid w:val="0"/>
          <w:color w:val="000000"/>
          <w:kern w:val="0"/>
          <w:sz w:val="32"/>
          <w:szCs w:val="32"/>
          <w14:ligatures w14:val="none"/>
        </w:rPr>
      </w:pPr>
    </w:p>
    <w:p w14:paraId="0C779F89">
      <w:pPr>
        <w:widowControl/>
        <w:kinsoku w:val="0"/>
        <w:autoSpaceDE w:val="0"/>
        <w:autoSpaceDN w:val="0"/>
        <w:adjustRightInd w:val="0"/>
        <w:snapToGrid w:val="0"/>
        <w:spacing w:line="580" w:lineRule="exact"/>
        <w:jc w:val="left"/>
        <w:textAlignment w:val="baseline"/>
        <w:rPr>
          <w:rFonts w:ascii="Arial" w:hAnsi="Arial" w:eastAsia="Arial" w:cs="Arial"/>
          <w:snapToGrid w:val="0"/>
          <w:color w:val="000000"/>
          <w:kern w:val="0"/>
          <w:szCs w:val="21"/>
          <w14:ligatures w14:val="none"/>
        </w:rPr>
      </w:pPr>
    </w:p>
    <w:p w14:paraId="642FFFBE">
      <w:pPr>
        <w:widowControl/>
        <w:topLinePunct/>
        <w:autoSpaceDN w:val="0"/>
        <w:adjustRightInd w:val="0"/>
        <w:snapToGrid w:val="0"/>
        <w:spacing w:line="580" w:lineRule="exact"/>
        <w:ind w:firstLine="4800" w:firstLineChars="1500"/>
        <w:jc w:val="left"/>
        <w:textAlignment w:val="baseline"/>
        <w:rPr>
          <w:rFonts w:hint="eastAsia" w:ascii="仿宋_GB2312" w:hAnsi="仿宋_GB2312" w:eastAsia="仿宋_GB2312" w:cs="仿宋_GB2312"/>
          <w:snapToGrid w:val="0"/>
          <w:color w:val="000000"/>
          <w:kern w:val="0"/>
          <w:sz w:val="32"/>
          <w:szCs w:val="32"/>
          <w14:ligatures w14:val="none"/>
        </w:rPr>
      </w:pPr>
    </w:p>
    <w:p w14:paraId="207305F9">
      <w:pPr>
        <w:widowControl/>
        <w:topLinePunct/>
        <w:autoSpaceDN w:val="0"/>
        <w:adjustRightInd w:val="0"/>
        <w:snapToGrid w:val="0"/>
        <w:spacing w:line="580" w:lineRule="exact"/>
        <w:ind w:firstLine="4800" w:firstLineChars="1500"/>
        <w:jc w:val="left"/>
        <w:textAlignment w:val="baseline"/>
        <w:rPr>
          <w:rFonts w:hint="eastAsia" w:ascii="仿宋_GB2312" w:hAnsi="仿宋_GB2312" w:eastAsia="仿宋_GB2312" w:cs="仿宋_GB2312"/>
          <w:snapToGrid w:val="0"/>
          <w:color w:val="000000"/>
          <w:kern w:val="0"/>
          <w:sz w:val="32"/>
          <w:szCs w:val="32"/>
          <w14:ligatures w14:val="none"/>
        </w:rPr>
      </w:pPr>
    </w:p>
    <w:p w14:paraId="77B8F526">
      <w:pPr>
        <w:widowControl/>
        <w:topLinePunct/>
        <w:autoSpaceDN w:val="0"/>
        <w:adjustRightInd w:val="0"/>
        <w:snapToGrid w:val="0"/>
        <w:spacing w:line="580" w:lineRule="exact"/>
        <w:ind w:firstLine="4800" w:firstLineChars="1500"/>
        <w:jc w:val="left"/>
        <w:textAlignment w:val="baseline"/>
        <w:rPr>
          <w:rFonts w:hint="eastAsia" w:ascii="仿宋_GB2312" w:hAnsi="仿宋_GB2312" w:eastAsia="仿宋_GB2312" w:cs="仿宋_GB2312"/>
          <w:snapToGrid w:val="0"/>
          <w:color w:val="000000"/>
          <w:kern w:val="0"/>
          <w:sz w:val="32"/>
          <w:szCs w:val="32"/>
          <w14:ligatures w14:val="none"/>
        </w:rPr>
      </w:pPr>
      <w:r>
        <w:rPr>
          <w:rFonts w:hint="eastAsia" w:ascii="仿宋_GB2312" w:hAnsi="仿宋_GB2312" w:eastAsia="仿宋_GB2312" w:cs="仿宋_GB2312"/>
          <w:snapToGrid w:val="0"/>
          <w:color w:val="000000"/>
          <w:kern w:val="0"/>
          <w:sz w:val="32"/>
          <w:szCs w:val="32"/>
          <w14:ligatures w14:val="none"/>
        </w:rPr>
        <w:t xml:space="preserve">呼伦贝尔市生态环境局        </w:t>
      </w:r>
    </w:p>
    <w:p w14:paraId="0DA1AEE4">
      <w:pPr>
        <w:widowControl/>
        <w:topLinePunct/>
        <w:autoSpaceDN w:val="0"/>
        <w:adjustRightInd w:val="0"/>
        <w:snapToGrid w:val="0"/>
        <w:spacing w:line="580" w:lineRule="exact"/>
        <w:ind w:firstLine="5440" w:firstLineChars="1700"/>
        <w:jc w:val="left"/>
        <w:textAlignment w:val="baseline"/>
        <w:rPr>
          <w:rFonts w:ascii="Arial" w:hAnsi="Arial" w:eastAsia="Arial" w:cs="Arial"/>
          <w:snapToGrid w:val="0"/>
          <w:color w:val="000000"/>
          <w:kern w:val="0"/>
          <w:szCs w:val="21"/>
          <w:lang w:eastAsia="en-US"/>
          <w14:ligatures w14:val="none"/>
        </w:rPr>
      </w:pPr>
      <w:r>
        <w:rPr>
          <w:rFonts w:hint="eastAsia" w:ascii="仿宋_GB2312" w:hAnsi="仿宋_GB2312" w:eastAsia="仿宋_GB2312" w:cs="仿宋_GB2312"/>
          <w:snapToGrid w:val="0"/>
          <w:color w:val="000000"/>
          <w:kern w:val="0"/>
          <w:sz w:val="32"/>
          <w:szCs w:val="32"/>
          <w14:ligatures w14:val="none"/>
        </w:rPr>
        <w:t>2025</w:t>
      </w:r>
      <w:r>
        <w:rPr>
          <w:rFonts w:hint="eastAsia" w:ascii="仿宋_GB2312" w:hAnsi="仿宋_GB2312" w:eastAsia="仿宋_GB2312" w:cs="仿宋_GB2312"/>
          <w:snapToGrid w:val="0"/>
          <w:color w:val="000000"/>
          <w:kern w:val="0"/>
          <w:sz w:val="32"/>
          <w:szCs w:val="32"/>
          <w:lang w:eastAsia="en-US"/>
          <w14:ligatures w14:val="none"/>
        </w:rPr>
        <w:t>年</w:t>
      </w:r>
      <w:r>
        <w:rPr>
          <w:rFonts w:hint="eastAsia" w:ascii="仿宋_GB2312" w:hAnsi="仿宋_GB2312" w:eastAsia="仿宋_GB2312" w:cs="仿宋_GB2312"/>
          <w:snapToGrid w:val="0"/>
          <w:color w:val="000000"/>
          <w:kern w:val="0"/>
          <w:sz w:val="32"/>
          <w:szCs w:val="32"/>
          <w14:ligatures w14:val="none"/>
        </w:rPr>
        <w:t>3</w:t>
      </w:r>
      <w:r>
        <w:rPr>
          <w:rFonts w:hint="eastAsia" w:ascii="仿宋_GB2312" w:hAnsi="仿宋_GB2312" w:eastAsia="仿宋_GB2312" w:cs="仿宋_GB2312"/>
          <w:snapToGrid w:val="0"/>
          <w:color w:val="000000"/>
          <w:kern w:val="0"/>
          <w:sz w:val="32"/>
          <w:szCs w:val="32"/>
          <w:lang w:eastAsia="en-US"/>
          <w14:ligatures w14:val="none"/>
        </w:rPr>
        <w:t>月</w:t>
      </w:r>
      <w:r>
        <w:rPr>
          <w:rFonts w:hint="eastAsia" w:ascii="仿宋_GB2312" w:hAnsi="仿宋_GB2312" w:eastAsia="仿宋_GB2312" w:cs="仿宋_GB2312"/>
          <w:snapToGrid w:val="0"/>
          <w:color w:val="000000"/>
          <w:kern w:val="0"/>
          <w:sz w:val="32"/>
          <w:szCs w:val="32"/>
          <w14:ligatures w14:val="none"/>
        </w:rPr>
        <w:t>2</w:t>
      </w:r>
      <w:r>
        <w:rPr>
          <w:rFonts w:hint="eastAsia" w:ascii="仿宋_GB2312" w:hAnsi="仿宋_GB2312" w:eastAsia="仿宋_GB2312" w:cs="仿宋_GB2312"/>
          <w:snapToGrid w:val="0"/>
          <w:color w:val="000000"/>
          <w:kern w:val="0"/>
          <w:sz w:val="32"/>
          <w:szCs w:val="32"/>
          <w:lang w:val="en-US" w:eastAsia="zh-CN"/>
          <w14:ligatures w14:val="none"/>
        </w:rPr>
        <w:t>9</w:t>
      </w:r>
      <w:bookmarkStart w:id="0" w:name="_GoBack"/>
      <w:bookmarkEnd w:id="0"/>
      <w:r>
        <w:rPr>
          <w:rFonts w:hint="eastAsia" w:ascii="仿宋_GB2312" w:hAnsi="仿宋_GB2312" w:eastAsia="仿宋_GB2312" w:cs="仿宋_GB2312"/>
          <w:snapToGrid w:val="0"/>
          <w:color w:val="000000"/>
          <w:kern w:val="0"/>
          <w:sz w:val="32"/>
          <w:szCs w:val="32"/>
          <w14:ligatures w14:val="none"/>
        </w:rPr>
        <w:t>日</w:t>
      </w:r>
    </w:p>
    <w:p w14:paraId="0EBF0C84">
      <w:pPr>
        <w:widowControl/>
        <w:kinsoku w:val="0"/>
        <w:autoSpaceDE w:val="0"/>
        <w:autoSpaceDN w:val="0"/>
        <w:adjustRightInd w:val="0"/>
        <w:snapToGrid w:val="0"/>
        <w:spacing w:line="580" w:lineRule="exact"/>
        <w:jc w:val="left"/>
        <w:textAlignment w:val="baseline"/>
        <w:rPr>
          <w:rFonts w:ascii="Arial" w:hAnsi="Arial" w:eastAsia="Arial" w:cs="Arial"/>
          <w:snapToGrid w:val="0"/>
          <w:color w:val="000000"/>
          <w:kern w:val="0"/>
          <w:szCs w:val="21"/>
          <w:lang w:eastAsia="en-US"/>
          <w14:ligatures w14:val="none"/>
        </w:rPr>
      </w:pPr>
    </w:p>
    <w:p w14:paraId="33765B50">
      <w:pPr>
        <w:rPr>
          <w:rFonts w:hint="eastAsia"/>
        </w:rPr>
      </w:pPr>
    </w:p>
    <w:p w14:paraId="3497D029"/>
    <w:p w14:paraId="59581D7A"/>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DCCC5B">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A6B554">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EA6B554">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8926076"/>
    <w:rsid w:val="65DD3477"/>
    <w:rsid w:val="789260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semiHidden/>
    <w:unhideWhenUsed/>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1807</Words>
  <Characters>1955</Characters>
  <Lines>0</Lines>
  <Paragraphs>0</Paragraphs>
  <TotalTime>3</TotalTime>
  <ScaleCrop>false</ScaleCrop>
  <LinksUpToDate>false</LinksUpToDate>
  <CharactersWithSpaces>1964</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2025-04-07T03:18:00Z</dcterms:created>
  <dc:creator>a1 nits</dc:creator>
  <cp:lastModifiedBy>a1 nits</cp:lastModifiedBy>
  <dcterms:modified xsi:type="dcterms:W3CDTF">2025-04-07T07:22:28Z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F289DCCBF334449B869FA1CD83F4FC58_11</vt:lpwstr>
  </property>
  <property fmtid="{D5CDD505-2E9C-101B-9397-08002B2CF9AE}" pid="4" name="KSOTemplateDocerSaveRecord">
    <vt:lpwstr>eyJoZGlkIjoiMTJhYWM5ZDE0OGVhYjFlNGVlM2MwNzkzZjdkZTdlZDQiLCJ1c2VySWQiOiI4MDUxNzE3MDgifQ==</vt:lpwstr>
  </property>
</Properties>
</file>