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353BA3">
      <w:pPr>
        <w:pStyle w:val="7"/>
        <w:keepNext w:val="0"/>
        <w:keepLines w:val="0"/>
        <w:pageBreakBefore w:val="0"/>
        <w:widowControl/>
        <w:kinsoku w:val="0"/>
        <w:wordWrap/>
        <w:overflowPunct/>
        <w:topLinePunct w:val="0"/>
        <w:autoSpaceDE w:val="0"/>
        <w:autoSpaceDN w:val="0"/>
        <w:bidi w:val="0"/>
        <w:adjustRightInd w:val="0"/>
        <w:snapToGrid w:val="0"/>
        <w:spacing w:line="800" w:lineRule="exact"/>
        <w:jc w:val="center"/>
        <w:textAlignment w:val="baseline"/>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呼伦贝尔市生态环境局</w:t>
      </w:r>
    </w:p>
    <w:p w14:paraId="34F34F8E">
      <w:pPr>
        <w:keepNext w:val="0"/>
        <w:keepLines w:val="0"/>
        <w:pageBreakBefore w:val="0"/>
        <w:widowControl/>
        <w:kinsoku w:val="0"/>
        <w:wordWrap/>
        <w:overflowPunct/>
        <w:topLinePunct w:val="0"/>
        <w:autoSpaceDE w:val="0"/>
        <w:autoSpaceDN w:val="0"/>
        <w:bidi w:val="0"/>
        <w:adjustRightInd w:val="0"/>
        <w:snapToGrid w:val="0"/>
        <w:spacing w:line="800" w:lineRule="exact"/>
        <w:jc w:val="center"/>
        <w:textAlignment w:val="baseline"/>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行政处罚决定书</w:t>
      </w:r>
    </w:p>
    <w:p w14:paraId="22D57B3B">
      <w:pPr>
        <w:jc w:val="center"/>
        <w:rPr>
          <w:rFonts w:hint="eastAsia" w:ascii="仿宋_GB2312" w:hAnsi="仿宋_GB2312" w:eastAsia="仿宋_GB2312" w:cs="仿宋_GB2312"/>
          <w:b/>
          <w:bCs/>
          <w:sz w:val="32"/>
          <w:szCs w:val="32"/>
          <w:lang w:val="en-US" w:eastAsia="zh-CN"/>
        </w:rPr>
      </w:pPr>
    </w:p>
    <w:p w14:paraId="56D4F5DB">
      <w:pPr>
        <w:jc w:val="center"/>
        <w:rPr>
          <w:rFonts w:hint="eastAsia" w:ascii="仿宋_GB2312" w:hAnsi="仿宋_GB2312" w:eastAsia="仿宋_GB2312" w:cs="仿宋_GB2312"/>
          <w:b/>
          <w:bCs/>
          <w:sz w:val="32"/>
          <w:szCs w:val="32"/>
          <w:lang w:val="en-US" w:eastAsia="zh-CN"/>
        </w:rPr>
      </w:pPr>
      <w:bookmarkStart w:id="0" w:name="_GoBack"/>
      <w:r>
        <w:rPr>
          <w:rFonts w:hint="eastAsia" w:ascii="仿宋_GB2312" w:hAnsi="仿宋_GB2312" w:eastAsia="仿宋_GB2312" w:cs="仿宋_GB2312"/>
          <w:b/>
          <w:bCs/>
          <w:sz w:val="32"/>
          <w:szCs w:val="32"/>
          <w:lang w:val="en-US" w:eastAsia="zh-CN"/>
        </w:rPr>
        <w:t>呼</w:t>
      </w:r>
      <w:r>
        <w:rPr>
          <w:rFonts w:hint="eastAsia" w:ascii="仿宋_GB2312" w:hAnsi="仿宋_GB2312" w:eastAsia="仿宋_GB2312" w:cs="仿宋_GB2312"/>
          <w:b/>
          <w:bCs/>
          <w:sz w:val="32"/>
          <w:szCs w:val="32"/>
        </w:rPr>
        <w:t>环罚〔</w:t>
      </w:r>
      <w:r>
        <w:rPr>
          <w:rFonts w:hint="eastAsia" w:ascii="仿宋_GB2312" w:hAnsi="仿宋_GB2312" w:eastAsia="仿宋_GB2312" w:cs="仿宋_GB2312"/>
          <w:b/>
          <w:bCs/>
          <w:sz w:val="32"/>
          <w:szCs w:val="32"/>
          <w:lang w:val="en-US" w:eastAsia="zh-CN"/>
        </w:rPr>
        <w:t>2024</w:t>
      </w:r>
      <w:r>
        <w:rPr>
          <w:rFonts w:hint="eastAsia" w:ascii="仿宋_GB2312" w:hAnsi="仿宋_GB2312" w:eastAsia="仿宋_GB2312" w:cs="仿宋_GB2312"/>
          <w:b/>
          <w:bCs/>
          <w:sz w:val="32"/>
          <w:szCs w:val="32"/>
        </w:rPr>
        <w:t>〕</w:t>
      </w:r>
      <w:r>
        <w:rPr>
          <w:rFonts w:hint="eastAsia" w:ascii="仿宋_GB2312" w:hAnsi="仿宋_GB2312" w:eastAsia="仿宋_GB2312" w:cs="仿宋_GB2312"/>
          <w:b/>
          <w:bCs/>
          <w:sz w:val="32"/>
          <w:szCs w:val="32"/>
          <w:lang w:val="en-US" w:eastAsia="zh-CN"/>
        </w:rPr>
        <w:t>030024号</w:t>
      </w:r>
    </w:p>
    <w:bookmarkEnd w:id="0"/>
    <w:p w14:paraId="2855D8B8">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w w:val="85"/>
          <w:sz w:val="32"/>
          <w:szCs w:val="32"/>
          <w:lang w:val="en-US" w:eastAsia="zh-CN"/>
        </w:rPr>
      </w:pPr>
      <w:r>
        <w:rPr>
          <w:rFonts w:hint="eastAsia" w:ascii="仿宋_GB2312" w:hAnsi="仿宋_GB2312" w:eastAsia="仿宋_GB2312" w:cs="仿宋_GB2312"/>
          <w:b/>
          <w:bCs/>
          <w:kern w:val="2"/>
          <w:sz w:val="32"/>
          <w:szCs w:val="32"/>
          <w:lang w:val="en-US" w:eastAsia="zh-CN"/>
        </w:rPr>
        <w:t>当事人</w:t>
      </w:r>
      <w:r>
        <w:rPr>
          <w:rFonts w:hint="eastAsia" w:ascii="仿宋_GB2312" w:hAnsi="仿宋_GB2312" w:eastAsia="仿宋_GB2312" w:cs="仿宋_GB2312"/>
          <w:b w:val="0"/>
          <w:kern w:val="2"/>
          <w:sz w:val="32"/>
          <w:szCs w:val="32"/>
          <w:lang w:val="en-US" w:eastAsia="zh-CN"/>
        </w:rPr>
        <w:t>：</w:t>
      </w:r>
      <w:r>
        <w:rPr>
          <w:rFonts w:hint="eastAsia" w:ascii="仿宋_GB2312" w:hAnsi="仿宋_GB2312" w:eastAsia="仿宋_GB2312" w:cs="仿宋_GB2312"/>
          <w:w w:val="85"/>
          <w:sz w:val="32"/>
          <w:szCs w:val="32"/>
          <w:lang w:val="en-US" w:eastAsia="zh-CN"/>
        </w:rPr>
        <w:t>中汽研汽车检验中心（呼伦贝尔）有限公司</w:t>
      </w:r>
    </w:p>
    <w:p w14:paraId="0E187E8B">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b/>
          <w:bCs/>
          <w:kern w:val="2"/>
          <w:sz w:val="32"/>
          <w:szCs w:val="32"/>
          <w:lang w:val="en-US" w:eastAsia="zh-CN"/>
        </w:rPr>
        <w:t>社会信用代</w:t>
      </w:r>
      <w:r>
        <w:rPr>
          <w:rFonts w:hint="eastAsia" w:ascii="仿宋_GB2312" w:hAnsi="仿宋_GB2312" w:eastAsia="仿宋_GB2312" w:cs="仿宋_GB2312"/>
          <w:b/>
          <w:bCs/>
          <w:kern w:val="0"/>
          <w:sz w:val="32"/>
          <w:szCs w:val="32"/>
          <w:lang w:val="en-US" w:eastAsia="zh-CN" w:bidi="ar"/>
        </w:rPr>
        <w:t>码</w:t>
      </w:r>
      <w:r>
        <w:rPr>
          <w:rFonts w:hint="eastAsia" w:ascii="仿宋_GB2312" w:hAnsi="仿宋_GB2312" w:eastAsia="仿宋_GB2312" w:cs="仿宋_GB2312"/>
          <w:kern w:val="0"/>
          <w:sz w:val="32"/>
          <w:szCs w:val="32"/>
          <w:lang w:val="en-US" w:eastAsia="zh-CN" w:bidi="ar"/>
        </w:rPr>
        <w:t>：911507823413856586</w:t>
      </w:r>
    </w:p>
    <w:p w14:paraId="40468215">
      <w:pPr>
        <w:keepNext w:val="0"/>
        <w:keepLines w:val="0"/>
        <w:pageBreakBefore w:val="0"/>
        <w:widowControl w:val="0"/>
        <w:kinsoku/>
        <w:wordWrap/>
        <w:overflowPunct/>
        <w:topLinePunct w:val="0"/>
        <w:autoSpaceDE/>
        <w:autoSpaceDN/>
        <w:bidi w:val="0"/>
        <w:adjustRightInd/>
        <w:snapToGrid/>
        <w:spacing w:line="560" w:lineRule="exact"/>
        <w:ind w:left="964" w:hanging="964" w:hangingChars="300"/>
        <w:jc w:val="left"/>
        <w:textAlignment w:val="auto"/>
        <w:rPr>
          <w:rFonts w:hint="eastAsia" w:ascii="仿宋_GB2312" w:hAnsi="仿宋_GB2312" w:eastAsia="仿宋_GB2312" w:cs="仿宋_GB2312"/>
          <w:b/>
          <w:bCs/>
          <w:color w:val="FF0000"/>
          <w:w w:val="95"/>
          <w:sz w:val="32"/>
          <w:szCs w:val="32"/>
          <w:lang w:val="en-US" w:eastAsia="zh-CN"/>
        </w:rPr>
      </w:pPr>
      <w:r>
        <w:rPr>
          <w:rFonts w:hint="eastAsia" w:ascii="仿宋_GB2312" w:hAnsi="仿宋_GB2312" w:eastAsia="仿宋_GB2312" w:cs="仿宋_GB2312"/>
          <w:b/>
          <w:bCs/>
          <w:kern w:val="2"/>
          <w:sz w:val="32"/>
          <w:szCs w:val="32"/>
          <w:lang w:val="en-US" w:eastAsia="zh-CN"/>
        </w:rPr>
        <w:t>地址</w:t>
      </w:r>
      <w:r>
        <w:rPr>
          <w:rFonts w:hint="eastAsia" w:ascii="仿宋_GB2312" w:hAnsi="仿宋_GB2312" w:eastAsia="仿宋_GB2312" w:cs="仿宋_GB2312"/>
          <w:b w:val="0"/>
          <w:kern w:val="2"/>
          <w:sz w:val="32"/>
          <w:szCs w:val="32"/>
          <w:lang w:val="en-US" w:eastAsia="zh-CN"/>
        </w:rPr>
        <w:t>：</w:t>
      </w:r>
      <w:r>
        <w:rPr>
          <w:rFonts w:hint="eastAsia" w:ascii="仿宋_GB2312" w:hAnsi="仿宋_GB2312" w:eastAsia="仿宋_GB2312" w:cs="仿宋_GB2312"/>
          <w:w w:val="95"/>
          <w:sz w:val="32"/>
          <w:szCs w:val="32"/>
          <w:lang w:val="en-US" w:eastAsia="zh-CN"/>
        </w:rPr>
        <w:t>内蒙古自治区呼伦贝尔市牙克石市凤凰山庄上凤湖西侧</w:t>
      </w:r>
    </w:p>
    <w:p w14:paraId="64A66334">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kern w:val="2"/>
          <w:sz w:val="32"/>
          <w:szCs w:val="32"/>
          <w:lang w:val="en-US" w:eastAsia="zh-CN"/>
        </w:rPr>
      </w:pPr>
      <w:r>
        <w:rPr>
          <w:rFonts w:hint="eastAsia" w:ascii="仿宋_GB2312" w:hAnsi="仿宋_GB2312" w:eastAsia="仿宋_GB2312" w:cs="仿宋_GB2312"/>
          <w:b/>
          <w:bCs/>
          <w:kern w:val="2"/>
          <w:sz w:val="32"/>
          <w:szCs w:val="32"/>
          <w:lang w:val="en-US" w:eastAsia="zh-CN"/>
        </w:rPr>
        <w:t>法定代表人</w:t>
      </w:r>
      <w:r>
        <w:rPr>
          <w:rFonts w:hint="eastAsia" w:ascii="仿宋_GB2312" w:hAnsi="仿宋_GB2312" w:eastAsia="仿宋_GB2312" w:cs="仿宋_GB2312"/>
          <w:b w:val="0"/>
          <w:kern w:val="2"/>
          <w:sz w:val="32"/>
          <w:szCs w:val="32"/>
          <w:lang w:val="en-US" w:eastAsia="zh-CN"/>
        </w:rPr>
        <w:t>：</w:t>
      </w:r>
      <w:r>
        <w:rPr>
          <w:rFonts w:hint="eastAsia" w:ascii="仿宋_GB2312" w:hAnsi="仿宋_GB2312" w:eastAsia="仿宋_GB2312" w:cs="仿宋_GB2312"/>
          <w:sz w:val="32"/>
          <w:szCs w:val="32"/>
          <w:lang w:val="en-US" w:eastAsia="zh-CN"/>
        </w:rPr>
        <w:t>李景升</w:t>
      </w:r>
    </w:p>
    <w:p w14:paraId="081A06D1">
      <w:pPr>
        <w:pStyle w:val="2"/>
        <w:keepNext w:val="0"/>
        <w:keepLines w:val="0"/>
        <w:pageBreakBefore w:val="0"/>
        <w:wordWrap/>
        <w:overflowPunct/>
        <w:topLinePunct w:val="0"/>
        <w:bidi w:val="0"/>
        <w:adjustRightInd w:val="0"/>
        <w:snapToGrid w:val="0"/>
        <w:spacing w:before="26" w:line="560" w:lineRule="exact"/>
        <w:ind w:right="102" w:firstLine="640" w:firstLineChars="200"/>
        <w:jc w:val="both"/>
        <w:rPr>
          <w:rFonts w:hint="eastAsia" w:ascii="仿宋_GB2312" w:hAnsi="仿宋_GB2312" w:eastAsia="仿宋_GB2312" w:cs="仿宋_GB2312"/>
          <w:snapToGrid w:val="0"/>
          <w:color w:val="000000"/>
          <w:kern w:val="0"/>
          <w:sz w:val="32"/>
          <w:szCs w:val="32"/>
          <w:lang w:val="en-US" w:eastAsia="zh-CN" w:bidi="ar-SA"/>
        </w:rPr>
      </w:pPr>
      <w:r>
        <w:rPr>
          <w:rFonts w:hint="eastAsia" w:ascii="仿宋_GB2312" w:hAnsi="仿宋_GB2312" w:eastAsia="仿宋_GB2312" w:cs="仿宋_GB2312"/>
          <w:snapToGrid w:val="0"/>
          <w:color w:val="000000"/>
          <w:kern w:val="0"/>
          <w:sz w:val="32"/>
          <w:szCs w:val="32"/>
          <w:lang w:val="en-US" w:eastAsia="zh-CN" w:bidi="ar-SA"/>
        </w:rPr>
        <w:t>我局于2024年9月23日对你公司进行了调查，发现实施了以下环境违法行为：</w:t>
      </w:r>
    </w:p>
    <w:p w14:paraId="3F900112">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牙克石市生态环境综合行政执法大队对你公司排污许可证执行情况进行现场执法检查，发现你公司由黑龙江省禹翔检测技术有限公司出具的报告编号：YXJC220307-05号，采样日期2022年3月7日，该监测报告未按照规定保存原始监测记录。</w:t>
      </w:r>
    </w:p>
    <w:p w14:paraId="375CEB6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违反法律规定的行为：</w:t>
      </w:r>
    </w:p>
    <w:p w14:paraId="10F909B1">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未保存原始监测记录。</w:t>
      </w:r>
    </w:p>
    <w:p w14:paraId="6CECD22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以上事实有：</w:t>
      </w:r>
    </w:p>
    <w:p w14:paraId="09B9385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1.呼伦贝尔市生态环境局现场检查（勘察）笔录1份（2024年9月23日09时00分至09时30分，证明对你单位现场勘察情况）</w:t>
      </w:r>
    </w:p>
    <w:p w14:paraId="023068A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2.呼伦贝尔市生态环境局调查询问笔录1份（2024年9月23日09时40分至10时10分，证明对你单位存在的问题进行询问调查。）</w:t>
      </w:r>
    </w:p>
    <w:p w14:paraId="47D21BD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3.中汽研汽车检验中心（呼伦贝尔）有限公司营业执照复印件1份（证明你单位工商登记情况及市场主体资格）</w:t>
      </w:r>
    </w:p>
    <w:p w14:paraId="175B5C1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4.中汽研汽车检验中心（呼伦贝尔）有限公司法人身份证复印件1份（中汽研汽车检验中心（呼伦贝尔）有限公司办公室职员高赫提供，证明你单位法定代表人身份信息）</w:t>
      </w:r>
    </w:p>
    <w:p w14:paraId="017EE9F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5.授权委托书1份（中汽研汽车检验中心（呼伦贝尔）有限公司办公室职员高赫提供，证明其授权办理相关生态环境工作事宜）</w:t>
      </w:r>
    </w:p>
    <w:p w14:paraId="0D67D1B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6.受委托人身份证复印件1份（证明被授权人身份信息）</w:t>
      </w:r>
    </w:p>
    <w:p w14:paraId="34CE8CA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7.由黑龙江禹翔检测技术有限公司出具的检测报告复印件1份（2022年03月13日出具检测报告编号：YXJC220307-05号的原始记录）证明你单位进行了自行监测。</w:t>
      </w:r>
    </w:p>
    <w:p w14:paraId="27DC5D3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8.技术咨询合同复印件1份（中汽研汽车检验中心（呼伦贝尔）有限公司委托牙克石市中林宏宇环保科技有限公司开展自行监测工作）</w:t>
      </w:r>
    </w:p>
    <w:p w14:paraId="68D0B6E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9.执法人员执法证复印件1份（证明执法人员信息）等证据为凭。</w:t>
      </w:r>
    </w:p>
    <w:p w14:paraId="4030A89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仿宋" w:cs="仿宋"/>
          <w:b w:val="0"/>
          <w:color w:val="000000" w:themeColor="text1"/>
          <w:kern w:val="2"/>
          <w:sz w:val="32"/>
          <w:szCs w:val="32"/>
          <w:lang w:val="en-US" w:eastAsia="zh-CN"/>
          <w14:textFill>
            <w14:solidFill>
              <w14:schemeClr w14:val="tx1"/>
            </w14:solidFill>
          </w14:textFill>
        </w:rPr>
      </w:pPr>
      <w:r>
        <w:rPr>
          <w:rFonts w:hint="eastAsia" w:ascii="仿宋" w:hAnsi="仿宋" w:eastAsia="仿宋" w:cs="仿宋"/>
          <w:b w:val="0"/>
          <w:color w:val="000000" w:themeColor="text1"/>
          <w:kern w:val="2"/>
          <w:sz w:val="32"/>
          <w:szCs w:val="32"/>
          <w:lang w:val="en-US" w:eastAsia="zh-CN"/>
          <w14:textFill>
            <w14:solidFill>
              <w14:schemeClr w14:val="tx1"/>
            </w14:solidFill>
          </w14:textFill>
        </w:rPr>
        <w:t>你公司的上述行为违反《排污许可管理条例》第十九条“排污单位应当按照排污许可证规定和有关标准规范，依法开展自行监测，并保存原始监测记录。原始监测记录保存期限不得少于5年。排污单位应当对自行监测数据的真实性、准确性负责，不得篡改、伪造。”的规定。</w:t>
      </w:r>
    </w:p>
    <w:p w14:paraId="6125D50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我局于</w:t>
      </w:r>
      <w:r>
        <w:rPr>
          <w:rFonts w:hint="eastAsia" w:ascii="仿宋_GB2312" w:hAnsi="仿宋_GB2312" w:eastAsia="仿宋_GB2312" w:cs="仿宋_GB2312"/>
          <w:sz w:val="32"/>
          <w:szCs w:val="32"/>
          <w:lang w:val="en-US" w:eastAsia="zh-CN"/>
        </w:rPr>
        <w:t>2024年12月4日</w:t>
      </w:r>
      <w:r>
        <w:rPr>
          <w:rFonts w:hint="eastAsia" w:ascii="仿宋_GB2312" w:hAnsi="仿宋_GB2312" w:eastAsia="仿宋_GB2312" w:cs="仿宋_GB2312"/>
          <w:sz w:val="32"/>
          <w:szCs w:val="32"/>
        </w:rPr>
        <w:t>以《行政处罚事先告知书》</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呼</w:t>
      </w:r>
      <w:r>
        <w:rPr>
          <w:rFonts w:hint="eastAsia" w:ascii="仿宋_GB2312" w:hAnsi="仿宋_GB2312" w:eastAsia="仿宋_GB2312" w:cs="仿宋_GB2312"/>
          <w:sz w:val="32"/>
          <w:szCs w:val="32"/>
        </w:rPr>
        <w:t>环罚告〔</w:t>
      </w:r>
      <w:r>
        <w:rPr>
          <w:rFonts w:hint="eastAsia" w:ascii="仿宋_GB2312" w:hAnsi="仿宋_GB2312" w:eastAsia="仿宋_GB2312" w:cs="仿宋_GB2312"/>
          <w:sz w:val="32"/>
          <w:szCs w:val="32"/>
          <w:lang w:val="en-US" w:eastAsia="zh-CN"/>
        </w:rPr>
        <w:t>2024</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030024</w:t>
      </w:r>
      <w:r>
        <w:rPr>
          <w:rFonts w:hint="eastAsia" w:ascii="仿宋_GB2312" w:hAnsi="仿宋_GB2312" w:eastAsia="仿宋_GB2312" w:cs="仿宋_GB2312"/>
          <w:sz w:val="32"/>
          <w:szCs w:val="32"/>
        </w:rPr>
        <w:t>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告知你</w:t>
      </w:r>
      <w:r>
        <w:rPr>
          <w:rFonts w:hint="eastAsia" w:ascii="仿宋_GB2312" w:hAnsi="仿宋_GB2312" w:eastAsia="仿宋_GB2312" w:cs="仿宋_GB2312"/>
          <w:sz w:val="32"/>
          <w:szCs w:val="32"/>
          <w:lang w:val="en-US" w:eastAsia="zh-CN"/>
        </w:rPr>
        <w:t>公司</w:t>
      </w:r>
      <w:r>
        <w:rPr>
          <w:rFonts w:hint="eastAsia" w:ascii="仿宋_GB2312" w:hAnsi="仿宋_GB2312" w:eastAsia="仿宋_GB2312" w:cs="仿宋_GB2312"/>
          <w:sz w:val="32"/>
          <w:szCs w:val="32"/>
        </w:rPr>
        <w:t>陈述申辩权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你公司在规定的时间内未提出陈述申辩。</w:t>
      </w:r>
    </w:p>
    <w:p w14:paraId="3746480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依据</w:t>
      </w:r>
      <w:r>
        <w:rPr>
          <w:rFonts w:hint="eastAsia" w:ascii="仿宋_GB2312" w:hAnsi="仿宋_GB2312" w:eastAsia="仿宋_GB2312" w:cs="仿宋_GB2312"/>
          <w:b/>
          <w:bCs/>
          <w:sz w:val="32"/>
          <w:szCs w:val="32"/>
          <w:lang w:val="en-US" w:eastAsia="zh-CN"/>
        </w:rPr>
        <w:t>《排污许可管理条例》第三十六条</w:t>
      </w:r>
      <w:r>
        <w:rPr>
          <w:rFonts w:hint="eastAsia" w:ascii="仿宋_GB2312" w:hAnsi="仿宋_GB2312" w:eastAsia="仿宋_GB2312" w:cs="仿宋_GB2312"/>
          <w:sz w:val="32"/>
          <w:szCs w:val="32"/>
          <w:lang w:val="en-US" w:eastAsia="zh-CN"/>
        </w:rPr>
        <w:t>“违反本条例规定，排污单位有下列行为之一的，由生态环境主管部门责令改正，处2万元以上20万元以下的罚款；拒不改正的，责令停产整治：（六）未按照排污许可证规定保存原始监测记录。”的规定予以处罚。</w:t>
      </w:r>
    </w:p>
    <w:p w14:paraId="3705D848">
      <w:pPr>
        <w:keepNext w:val="0"/>
        <w:keepLines w:val="0"/>
        <w:pageBreakBefore w:val="0"/>
        <w:widowControl w:val="0"/>
        <w:kinsoku/>
        <w:wordWrap/>
        <w:overflowPunct/>
        <w:topLinePunct w:val="0"/>
        <w:autoSpaceDE/>
        <w:autoSpaceDN/>
        <w:bidi w:val="0"/>
        <w:adjustRightInd w:val="0"/>
        <w:snapToGrid w:val="0"/>
        <w:spacing w:line="560" w:lineRule="exact"/>
        <w:ind w:firstLine="643" w:firstLineChars="20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color w:val="333333"/>
          <w:sz w:val="32"/>
          <w:szCs w:val="32"/>
        </w:rPr>
        <w:t>依据《</w:t>
      </w:r>
      <w:r>
        <w:rPr>
          <w:rFonts w:hint="eastAsia" w:ascii="仿宋_GB2312" w:hAnsi="仿宋_GB2312" w:eastAsia="仿宋_GB2312" w:cs="仿宋_GB2312"/>
          <w:b/>
          <w:bCs/>
          <w:spacing w:val="-6"/>
          <w:sz w:val="32"/>
          <w:szCs w:val="32"/>
        </w:rPr>
        <w:t>内蒙古自治区生态环境</w:t>
      </w:r>
      <w:r>
        <w:rPr>
          <w:rFonts w:hint="eastAsia" w:ascii="仿宋_GB2312" w:hAnsi="仿宋_GB2312" w:eastAsia="仿宋_GB2312" w:cs="仿宋_GB2312"/>
          <w:b/>
          <w:bCs/>
          <w:spacing w:val="-6"/>
          <w:sz w:val="32"/>
          <w:szCs w:val="32"/>
          <w:lang w:eastAsia="zh-CN"/>
        </w:rPr>
        <w:t>系统</w:t>
      </w:r>
      <w:r>
        <w:rPr>
          <w:rFonts w:hint="eastAsia" w:ascii="仿宋_GB2312" w:hAnsi="仿宋_GB2312" w:eastAsia="仿宋_GB2312" w:cs="仿宋_GB2312"/>
          <w:b/>
          <w:bCs/>
          <w:spacing w:val="-6"/>
          <w:sz w:val="32"/>
          <w:szCs w:val="32"/>
        </w:rPr>
        <w:t>行政处罚裁量基准规定（试行）</w:t>
      </w:r>
      <w:r>
        <w:rPr>
          <w:rFonts w:hint="eastAsia" w:ascii="仿宋_GB2312" w:hAnsi="仿宋_GB2312" w:eastAsia="仿宋_GB2312" w:cs="仿宋_GB2312"/>
          <w:b/>
          <w:bCs/>
          <w:color w:val="333333"/>
          <w:sz w:val="32"/>
          <w:szCs w:val="32"/>
        </w:rPr>
        <w:t>》裁量</w:t>
      </w:r>
      <w:r>
        <w:rPr>
          <w:rFonts w:hint="eastAsia" w:ascii="仿宋_GB2312" w:hAnsi="仿宋_GB2312" w:eastAsia="仿宋_GB2312" w:cs="仿宋_GB2312"/>
          <w:color w:val="333333"/>
          <w:sz w:val="32"/>
          <w:szCs w:val="32"/>
        </w:rPr>
        <w:t>如下：</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0"/>
        <w:gridCol w:w="2326"/>
        <w:gridCol w:w="1936"/>
      </w:tblGrid>
      <w:tr w14:paraId="5FE94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Merge w:val="restart"/>
          </w:tcPr>
          <w:p w14:paraId="0F382AC9">
            <w:pPr>
              <w:keepNext w:val="0"/>
              <w:keepLines w:val="0"/>
              <w:pageBreakBefore w:val="0"/>
              <w:widowControl w:val="0"/>
              <w:kinsoku/>
              <w:wordWrap/>
              <w:overflowPunct/>
              <w:topLinePunct w:val="0"/>
              <w:autoSpaceDE/>
              <w:autoSpaceDN/>
              <w:bidi w:val="0"/>
              <w:spacing w:line="580" w:lineRule="exact"/>
              <w:jc w:val="left"/>
              <w:textAlignment w:val="auto"/>
              <w:rPr>
                <w:rFonts w:hint="eastAsia" w:ascii="仿宋_GB2312" w:hAnsi="仿宋_GB2312" w:eastAsia="仿宋_GB2312" w:cs="仿宋_GB2312"/>
                <w:sz w:val="18"/>
                <w:szCs w:val="18"/>
              </w:rPr>
            </w:pPr>
          </w:p>
          <w:p w14:paraId="1BFB0987">
            <w:pPr>
              <w:keepNext w:val="0"/>
              <w:keepLines w:val="0"/>
              <w:pageBreakBefore w:val="0"/>
              <w:widowControl w:val="0"/>
              <w:kinsoku/>
              <w:wordWrap/>
              <w:overflowPunct/>
              <w:topLinePunct w:val="0"/>
              <w:autoSpaceDE/>
              <w:autoSpaceDN/>
              <w:bidi w:val="0"/>
              <w:spacing w:line="580" w:lineRule="exact"/>
              <w:jc w:val="left"/>
              <w:textAlignment w:val="auto"/>
              <w:rPr>
                <w:rFonts w:hint="eastAsia" w:ascii="仿宋_GB2312" w:hAnsi="仿宋_GB2312" w:eastAsia="仿宋_GB2312" w:cs="仿宋_GB2312"/>
                <w:sz w:val="18"/>
                <w:szCs w:val="18"/>
              </w:rPr>
            </w:pPr>
          </w:p>
          <w:p w14:paraId="28F5577A">
            <w:pPr>
              <w:keepNext w:val="0"/>
              <w:keepLines w:val="0"/>
              <w:pageBreakBefore w:val="0"/>
              <w:widowControl w:val="0"/>
              <w:kinsoku/>
              <w:wordWrap/>
              <w:overflowPunct/>
              <w:topLinePunct w:val="0"/>
              <w:autoSpaceDE/>
              <w:autoSpaceDN/>
              <w:bidi w:val="0"/>
              <w:spacing w:line="580" w:lineRule="exact"/>
              <w:jc w:val="left"/>
              <w:textAlignment w:val="auto"/>
              <w:rPr>
                <w:rFonts w:hint="eastAsia" w:ascii="仿宋" w:hAnsi="仿宋" w:eastAsia="仿宋" w:cs="仿宋"/>
                <w:b w:val="0"/>
                <w:kern w:val="2"/>
                <w:sz w:val="32"/>
                <w:szCs w:val="32"/>
                <w:vertAlign w:val="baseline"/>
                <w:lang w:val="en-US" w:eastAsia="zh-CN"/>
              </w:rPr>
            </w:pPr>
            <w:r>
              <w:rPr>
                <w:rFonts w:hint="eastAsia" w:ascii="仿宋_GB2312" w:hAnsi="仿宋_GB2312" w:eastAsia="仿宋_GB2312" w:cs="仿宋_GB2312"/>
                <w:sz w:val="18"/>
                <w:szCs w:val="18"/>
              </w:rPr>
              <w:t>（六）未按照排污许可证规定保存原始监测记录</w:t>
            </w:r>
          </w:p>
        </w:tc>
        <w:tc>
          <w:tcPr>
            <w:tcW w:w="2130" w:type="dxa"/>
            <w:vMerge w:val="restart"/>
          </w:tcPr>
          <w:p w14:paraId="4A8147D8">
            <w:pPr>
              <w:keepNext w:val="0"/>
              <w:keepLines w:val="0"/>
              <w:pageBreakBefore w:val="0"/>
              <w:widowControl w:val="0"/>
              <w:kinsoku/>
              <w:wordWrap/>
              <w:overflowPunct/>
              <w:topLinePunct w:val="0"/>
              <w:autoSpaceDE/>
              <w:autoSpaceDN/>
              <w:bidi w:val="0"/>
              <w:adjustRightInd w:val="0"/>
              <w:snapToGrid w:val="0"/>
              <w:spacing w:line="580" w:lineRule="exact"/>
              <w:jc w:val="left"/>
              <w:textAlignment w:val="auto"/>
              <w:rPr>
                <w:rFonts w:hint="eastAsia" w:ascii="仿宋_GB2312" w:hAnsi="仿宋_GB2312" w:eastAsia="仿宋_GB2312" w:cs="仿宋_GB2312"/>
                <w:sz w:val="18"/>
                <w:szCs w:val="18"/>
              </w:rPr>
            </w:pPr>
          </w:p>
          <w:p w14:paraId="7BCB0429">
            <w:pPr>
              <w:keepNext w:val="0"/>
              <w:keepLines w:val="0"/>
              <w:pageBreakBefore w:val="0"/>
              <w:widowControl w:val="0"/>
              <w:kinsoku/>
              <w:wordWrap/>
              <w:overflowPunct/>
              <w:topLinePunct w:val="0"/>
              <w:autoSpaceDE/>
              <w:autoSpaceDN/>
              <w:bidi w:val="0"/>
              <w:adjustRightInd w:val="0"/>
              <w:snapToGrid w:val="0"/>
              <w:spacing w:line="580" w:lineRule="exact"/>
              <w:jc w:val="left"/>
              <w:textAlignment w:val="auto"/>
              <w:rPr>
                <w:rFonts w:hint="eastAsia" w:ascii="仿宋_GB2312" w:hAnsi="仿宋_GB2312" w:eastAsia="仿宋_GB2312" w:cs="仿宋_GB2312"/>
                <w:sz w:val="18"/>
                <w:szCs w:val="18"/>
              </w:rPr>
            </w:pPr>
          </w:p>
          <w:p w14:paraId="5FCE2D27">
            <w:pPr>
              <w:keepNext w:val="0"/>
              <w:keepLines w:val="0"/>
              <w:pageBreakBefore w:val="0"/>
              <w:widowControl w:val="0"/>
              <w:kinsoku/>
              <w:wordWrap/>
              <w:overflowPunct/>
              <w:topLinePunct w:val="0"/>
              <w:autoSpaceDE/>
              <w:autoSpaceDN/>
              <w:bidi w:val="0"/>
              <w:adjustRightInd w:val="0"/>
              <w:snapToGrid w:val="0"/>
              <w:spacing w:line="580" w:lineRule="exact"/>
              <w:jc w:val="left"/>
              <w:textAlignment w:val="auto"/>
              <w:rPr>
                <w:rFonts w:hint="eastAsia" w:ascii="仿宋_GB2312" w:hAnsi="仿宋_GB2312" w:eastAsia="仿宋_GB2312" w:cs="仿宋_GB2312"/>
                <w:sz w:val="18"/>
                <w:szCs w:val="18"/>
              </w:rPr>
            </w:pPr>
          </w:p>
          <w:p w14:paraId="5473E0A6">
            <w:pPr>
              <w:keepNext w:val="0"/>
              <w:keepLines w:val="0"/>
              <w:pageBreakBefore w:val="0"/>
              <w:widowControl w:val="0"/>
              <w:kinsoku/>
              <w:wordWrap/>
              <w:overflowPunct/>
              <w:topLinePunct w:val="0"/>
              <w:autoSpaceDE/>
              <w:autoSpaceDN/>
              <w:bidi w:val="0"/>
              <w:adjustRightInd w:val="0"/>
              <w:snapToGrid w:val="0"/>
              <w:spacing w:line="580" w:lineRule="exact"/>
              <w:jc w:val="left"/>
              <w:textAlignment w:val="auto"/>
              <w:rPr>
                <w:rFonts w:ascii="仿宋_GB2312" w:hAnsi="仿宋_GB2312" w:eastAsia="仿宋_GB2312" w:cs="仿宋_GB2312"/>
                <w:sz w:val="18"/>
                <w:szCs w:val="18"/>
              </w:rPr>
            </w:pPr>
            <w:r>
              <w:rPr>
                <w:rFonts w:hint="eastAsia" w:ascii="仿宋_GB2312" w:hAnsi="仿宋_GB2312" w:eastAsia="仿宋_GB2312" w:cs="仿宋_GB2312"/>
                <w:sz w:val="18"/>
                <w:szCs w:val="18"/>
              </w:rPr>
              <w:t>2万元以上</w:t>
            </w:r>
          </w:p>
          <w:p w14:paraId="750B9CDB">
            <w:pPr>
              <w:keepNext w:val="0"/>
              <w:keepLines w:val="0"/>
              <w:pageBreakBefore w:val="0"/>
              <w:widowControl w:val="0"/>
              <w:kinsoku/>
              <w:wordWrap/>
              <w:overflowPunct/>
              <w:topLinePunct w:val="0"/>
              <w:autoSpaceDE/>
              <w:autoSpaceDN/>
              <w:bidi w:val="0"/>
              <w:spacing w:line="580" w:lineRule="exact"/>
              <w:jc w:val="left"/>
              <w:textAlignment w:val="auto"/>
              <w:rPr>
                <w:rFonts w:hint="eastAsia" w:ascii="仿宋" w:hAnsi="仿宋" w:eastAsia="仿宋" w:cs="仿宋"/>
                <w:b w:val="0"/>
                <w:kern w:val="2"/>
                <w:sz w:val="32"/>
                <w:szCs w:val="32"/>
                <w:vertAlign w:val="baseline"/>
                <w:lang w:val="en-US" w:eastAsia="zh-CN"/>
              </w:rPr>
            </w:pPr>
            <w:r>
              <w:rPr>
                <w:rFonts w:hint="eastAsia" w:ascii="仿宋_GB2312" w:hAnsi="仿宋_GB2312" w:eastAsia="仿宋_GB2312" w:cs="仿宋_GB2312"/>
                <w:spacing w:val="-20"/>
                <w:sz w:val="18"/>
                <w:szCs w:val="18"/>
              </w:rPr>
              <w:t>20</w:t>
            </w:r>
            <w:r>
              <w:rPr>
                <w:rFonts w:hint="eastAsia" w:ascii="仿宋_GB2312" w:hAnsi="仿宋_GB2312" w:eastAsia="仿宋_GB2312" w:cs="仿宋_GB2312"/>
                <w:sz w:val="18"/>
                <w:szCs w:val="18"/>
              </w:rPr>
              <w:t>万元以下</w:t>
            </w:r>
          </w:p>
        </w:tc>
        <w:tc>
          <w:tcPr>
            <w:tcW w:w="2326" w:type="dxa"/>
          </w:tcPr>
          <w:p w14:paraId="4D383112">
            <w:pPr>
              <w:keepNext w:val="0"/>
              <w:keepLines w:val="0"/>
              <w:pageBreakBefore w:val="0"/>
              <w:widowControl w:val="0"/>
              <w:kinsoku/>
              <w:wordWrap/>
              <w:overflowPunct/>
              <w:topLinePunct w:val="0"/>
              <w:autoSpaceDE/>
              <w:autoSpaceDN/>
              <w:bidi w:val="0"/>
              <w:spacing w:line="580" w:lineRule="exact"/>
              <w:jc w:val="left"/>
              <w:textAlignment w:val="auto"/>
              <w:rPr>
                <w:rFonts w:hint="eastAsia" w:ascii="仿宋" w:hAnsi="仿宋" w:eastAsia="仿宋" w:cs="仿宋"/>
                <w:b w:val="0"/>
                <w:kern w:val="2"/>
                <w:sz w:val="32"/>
                <w:szCs w:val="32"/>
                <w:vertAlign w:val="baseline"/>
                <w:lang w:val="en-US" w:eastAsia="zh-CN"/>
              </w:rPr>
            </w:pPr>
            <w:r>
              <w:rPr>
                <w:rFonts w:hint="eastAsia" w:ascii="仿宋_GB2312" w:hAnsi="仿宋_GB2312" w:eastAsia="仿宋_GB2312" w:cs="仿宋_GB2312"/>
                <w:sz w:val="18"/>
                <w:szCs w:val="18"/>
              </w:rPr>
              <w:t>原始监测记录不规范、项目不全或者建立和保存原始监测记录时间低于5年的</w:t>
            </w:r>
          </w:p>
        </w:tc>
        <w:tc>
          <w:tcPr>
            <w:tcW w:w="1936" w:type="dxa"/>
          </w:tcPr>
          <w:p w14:paraId="05C3B09A">
            <w:pPr>
              <w:keepNext w:val="0"/>
              <w:keepLines w:val="0"/>
              <w:pageBreakBefore w:val="0"/>
              <w:widowControl w:val="0"/>
              <w:kinsoku/>
              <w:wordWrap/>
              <w:overflowPunct/>
              <w:topLinePunct w:val="0"/>
              <w:autoSpaceDE/>
              <w:autoSpaceDN/>
              <w:bidi w:val="0"/>
              <w:adjustRightInd w:val="0"/>
              <w:snapToGrid w:val="0"/>
              <w:spacing w:line="580" w:lineRule="exact"/>
              <w:jc w:val="center"/>
              <w:textAlignment w:val="auto"/>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rPr>
              <w:t>2万元以上</w:t>
            </w:r>
            <w:r>
              <w:rPr>
                <w:rFonts w:hint="eastAsia" w:ascii="仿宋_GB2312" w:hAnsi="仿宋_GB2312" w:eastAsia="仿宋_GB2312" w:cs="仿宋_GB2312"/>
                <w:sz w:val="18"/>
                <w:szCs w:val="18"/>
                <w:lang w:eastAsia="zh-CN"/>
              </w:rPr>
              <w:t>，</w:t>
            </w:r>
          </w:p>
          <w:p w14:paraId="656B6A47">
            <w:pPr>
              <w:keepNext w:val="0"/>
              <w:keepLines w:val="0"/>
              <w:pageBreakBefore w:val="0"/>
              <w:widowControl w:val="0"/>
              <w:kinsoku/>
              <w:wordWrap/>
              <w:overflowPunct/>
              <w:topLinePunct w:val="0"/>
              <w:autoSpaceDE/>
              <w:autoSpaceDN/>
              <w:bidi w:val="0"/>
              <w:spacing w:line="580" w:lineRule="exact"/>
              <w:jc w:val="left"/>
              <w:textAlignment w:val="auto"/>
              <w:rPr>
                <w:rFonts w:hint="eastAsia" w:ascii="仿宋" w:hAnsi="仿宋" w:eastAsia="仿宋" w:cs="仿宋"/>
                <w:b w:val="0"/>
                <w:kern w:val="2"/>
                <w:sz w:val="32"/>
                <w:szCs w:val="32"/>
                <w:vertAlign w:val="baseline"/>
                <w:lang w:val="en-US" w:eastAsia="zh-CN"/>
              </w:rPr>
            </w:pPr>
            <w:r>
              <w:rPr>
                <w:rFonts w:hint="eastAsia" w:ascii="仿宋_GB2312" w:hAnsi="仿宋_GB2312" w:eastAsia="仿宋_GB2312" w:cs="仿宋_GB2312"/>
                <w:sz w:val="18"/>
                <w:szCs w:val="18"/>
              </w:rPr>
              <w:t>不足5万元</w:t>
            </w:r>
          </w:p>
        </w:tc>
      </w:tr>
      <w:tr w14:paraId="32CBD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Merge w:val="continue"/>
          </w:tcPr>
          <w:p w14:paraId="66506843">
            <w:pPr>
              <w:keepNext w:val="0"/>
              <w:keepLines w:val="0"/>
              <w:pageBreakBefore w:val="0"/>
              <w:widowControl w:val="0"/>
              <w:kinsoku/>
              <w:wordWrap/>
              <w:overflowPunct/>
              <w:topLinePunct w:val="0"/>
              <w:autoSpaceDE/>
              <w:autoSpaceDN/>
              <w:bidi w:val="0"/>
              <w:spacing w:line="580" w:lineRule="exact"/>
              <w:jc w:val="left"/>
              <w:textAlignment w:val="auto"/>
              <w:rPr>
                <w:rFonts w:hint="eastAsia" w:ascii="仿宋" w:hAnsi="仿宋" w:eastAsia="仿宋" w:cs="仿宋"/>
                <w:b w:val="0"/>
                <w:kern w:val="2"/>
                <w:sz w:val="32"/>
                <w:szCs w:val="32"/>
                <w:vertAlign w:val="baseline"/>
                <w:lang w:val="en-US" w:eastAsia="zh-CN"/>
              </w:rPr>
            </w:pPr>
          </w:p>
        </w:tc>
        <w:tc>
          <w:tcPr>
            <w:tcW w:w="2130" w:type="dxa"/>
            <w:vMerge w:val="continue"/>
          </w:tcPr>
          <w:p w14:paraId="26C96511">
            <w:pPr>
              <w:keepNext w:val="0"/>
              <w:keepLines w:val="0"/>
              <w:pageBreakBefore w:val="0"/>
              <w:widowControl w:val="0"/>
              <w:kinsoku/>
              <w:wordWrap/>
              <w:overflowPunct/>
              <w:topLinePunct w:val="0"/>
              <w:autoSpaceDE/>
              <w:autoSpaceDN/>
              <w:bidi w:val="0"/>
              <w:spacing w:line="580" w:lineRule="exact"/>
              <w:jc w:val="left"/>
              <w:textAlignment w:val="auto"/>
              <w:rPr>
                <w:rFonts w:hint="eastAsia" w:ascii="仿宋" w:hAnsi="仿宋" w:eastAsia="仿宋" w:cs="仿宋"/>
                <w:b w:val="0"/>
                <w:kern w:val="2"/>
                <w:sz w:val="32"/>
                <w:szCs w:val="32"/>
                <w:vertAlign w:val="baseline"/>
                <w:lang w:val="en-US" w:eastAsia="zh-CN"/>
              </w:rPr>
            </w:pPr>
          </w:p>
        </w:tc>
        <w:tc>
          <w:tcPr>
            <w:tcW w:w="2326" w:type="dxa"/>
          </w:tcPr>
          <w:p w14:paraId="5572521F">
            <w:pPr>
              <w:keepNext w:val="0"/>
              <w:keepLines w:val="0"/>
              <w:pageBreakBefore w:val="0"/>
              <w:widowControl w:val="0"/>
              <w:kinsoku/>
              <w:wordWrap/>
              <w:overflowPunct/>
              <w:topLinePunct w:val="0"/>
              <w:autoSpaceDE/>
              <w:autoSpaceDN/>
              <w:bidi w:val="0"/>
              <w:spacing w:line="580" w:lineRule="exact"/>
              <w:jc w:val="left"/>
              <w:textAlignment w:val="auto"/>
              <w:rPr>
                <w:rFonts w:hint="eastAsia" w:ascii="仿宋" w:hAnsi="仿宋" w:eastAsia="仿宋" w:cs="仿宋"/>
                <w:b w:val="0"/>
                <w:kern w:val="2"/>
                <w:sz w:val="32"/>
                <w:szCs w:val="32"/>
                <w:vertAlign w:val="baseline"/>
                <w:lang w:val="en-US" w:eastAsia="zh-CN"/>
              </w:rPr>
            </w:pPr>
            <w:r>
              <w:rPr>
                <w:rFonts w:hint="eastAsia" w:ascii="仿宋_GB2312" w:hAnsi="仿宋_GB2312" w:eastAsia="仿宋_GB2312" w:cs="仿宋_GB2312"/>
                <w:sz w:val="18"/>
                <w:szCs w:val="18"/>
              </w:rPr>
              <w:t>未按规定保存原始监测记录的</w:t>
            </w:r>
          </w:p>
        </w:tc>
        <w:tc>
          <w:tcPr>
            <w:tcW w:w="1936" w:type="dxa"/>
          </w:tcPr>
          <w:p w14:paraId="0773CE60">
            <w:pPr>
              <w:keepNext w:val="0"/>
              <w:keepLines w:val="0"/>
              <w:pageBreakBefore w:val="0"/>
              <w:widowControl w:val="0"/>
              <w:kinsoku/>
              <w:wordWrap/>
              <w:overflowPunct/>
              <w:topLinePunct w:val="0"/>
              <w:autoSpaceDE/>
              <w:autoSpaceDN/>
              <w:bidi w:val="0"/>
              <w:adjustRightInd w:val="0"/>
              <w:snapToGrid w:val="0"/>
              <w:spacing w:line="580" w:lineRule="exact"/>
              <w:jc w:val="center"/>
              <w:textAlignment w:val="auto"/>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rPr>
              <w:t>5万元以上</w:t>
            </w:r>
            <w:r>
              <w:rPr>
                <w:rFonts w:hint="eastAsia" w:ascii="仿宋_GB2312" w:hAnsi="仿宋_GB2312" w:eastAsia="仿宋_GB2312" w:cs="仿宋_GB2312"/>
                <w:sz w:val="18"/>
                <w:szCs w:val="18"/>
                <w:lang w:eastAsia="zh-CN"/>
              </w:rPr>
              <w:t>，</w:t>
            </w:r>
          </w:p>
          <w:p w14:paraId="028A329D">
            <w:pPr>
              <w:keepNext w:val="0"/>
              <w:keepLines w:val="0"/>
              <w:pageBreakBefore w:val="0"/>
              <w:widowControl w:val="0"/>
              <w:kinsoku/>
              <w:wordWrap/>
              <w:overflowPunct/>
              <w:topLinePunct w:val="0"/>
              <w:autoSpaceDE/>
              <w:autoSpaceDN/>
              <w:bidi w:val="0"/>
              <w:spacing w:line="580" w:lineRule="exact"/>
              <w:jc w:val="left"/>
              <w:textAlignment w:val="auto"/>
              <w:rPr>
                <w:rFonts w:hint="eastAsia" w:ascii="仿宋" w:hAnsi="仿宋" w:eastAsia="仿宋" w:cs="仿宋"/>
                <w:b w:val="0"/>
                <w:kern w:val="2"/>
                <w:sz w:val="32"/>
                <w:szCs w:val="32"/>
                <w:vertAlign w:val="baseline"/>
                <w:lang w:val="en-US" w:eastAsia="zh-CN"/>
              </w:rPr>
            </w:pPr>
            <w:r>
              <w:rPr>
                <w:rFonts w:hint="eastAsia" w:ascii="仿宋_GB2312" w:hAnsi="仿宋_GB2312" w:eastAsia="仿宋_GB2312" w:cs="仿宋_GB2312"/>
                <w:sz w:val="18"/>
                <w:szCs w:val="18"/>
              </w:rPr>
              <w:t>不足10万元</w:t>
            </w:r>
          </w:p>
        </w:tc>
      </w:tr>
      <w:tr w14:paraId="113F0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Merge w:val="continue"/>
          </w:tcPr>
          <w:p w14:paraId="4F5CA0F9">
            <w:pPr>
              <w:keepNext w:val="0"/>
              <w:keepLines w:val="0"/>
              <w:pageBreakBefore w:val="0"/>
              <w:widowControl w:val="0"/>
              <w:kinsoku/>
              <w:wordWrap/>
              <w:overflowPunct/>
              <w:topLinePunct w:val="0"/>
              <w:autoSpaceDE/>
              <w:autoSpaceDN/>
              <w:bidi w:val="0"/>
              <w:spacing w:line="580" w:lineRule="exact"/>
              <w:jc w:val="left"/>
              <w:textAlignment w:val="auto"/>
              <w:rPr>
                <w:rFonts w:hint="eastAsia" w:ascii="仿宋" w:hAnsi="仿宋" w:eastAsia="仿宋" w:cs="仿宋"/>
                <w:b w:val="0"/>
                <w:kern w:val="2"/>
                <w:sz w:val="32"/>
                <w:szCs w:val="32"/>
                <w:vertAlign w:val="baseline"/>
                <w:lang w:val="en-US" w:eastAsia="zh-CN"/>
              </w:rPr>
            </w:pPr>
          </w:p>
        </w:tc>
        <w:tc>
          <w:tcPr>
            <w:tcW w:w="2130" w:type="dxa"/>
            <w:vMerge w:val="continue"/>
          </w:tcPr>
          <w:p w14:paraId="4DC70E3B">
            <w:pPr>
              <w:keepNext w:val="0"/>
              <w:keepLines w:val="0"/>
              <w:pageBreakBefore w:val="0"/>
              <w:widowControl w:val="0"/>
              <w:kinsoku/>
              <w:wordWrap/>
              <w:overflowPunct/>
              <w:topLinePunct w:val="0"/>
              <w:autoSpaceDE/>
              <w:autoSpaceDN/>
              <w:bidi w:val="0"/>
              <w:spacing w:line="580" w:lineRule="exact"/>
              <w:jc w:val="left"/>
              <w:textAlignment w:val="auto"/>
              <w:rPr>
                <w:rFonts w:hint="eastAsia" w:ascii="仿宋" w:hAnsi="仿宋" w:eastAsia="仿宋" w:cs="仿宋"/>
                <w:b w:val="0"/>
                <w:kern w:val="2"/>
                <w:sz w:val="32"/>
                <w:szCs w:val="32"/>
                <w:vertAlign w:val="baseline"/>
                <w:lang w:val="en-US" w:eastAsia="zh-CN"/>
              </w:rPr>
            </w:pPr>
          </w:p>
        </w:tc>
        <w:tc>
          <w:tcPr>
            <w:tcW w:w="2326" w:type="dxa"/>
          </w:tcPr>
          <w:p w14:paraId="3E6DFD88">
            <w:pPr>
              <w:keepNext w:val="0"/>
              <w:keepLines w:val="0"/>
              <w:pageBreakBefore w:val="0"/>
              <w:widowControl w:val="0"/>
              <w:kinsoku/>
              <w:wordWrap/>
              <w:overflowPunct/>
              <w:topLinePunct w:val="0"/>
              <w:autoSpaceDE/>
              <w:autoSpaceDN/>
              <w:bidi w:val="0"/>
              <w:spacing w:line="580" w:lineRule="exact"/>
              <w:jc w:val="left"/>
              <w:textAlignment w:val="auto"/>
              <w:rPr>
                <w:rFonts w:hint="eastAsia" w:ascii="仿宋" w:hAnsi="仿宋" w:eastAsia="仿宋" w:cs="仿宋"/>
                <w:b w:val="0"/>
                <w:kern w:val="2"/>
                <w:sz w:val="32"/>
                <w:szCs w:val="32"/>
                <w:vertAlign w:val="baseline"/>
                <w:lang w:val="en-US" w:eastAsia="zh-CN"/>
              </w:rPr>
            </w:pPr>
            <w:r>
              <w:rPr>
                <w:rFonts w:hint="eastAsia" w:ascii="仿宋_GB2312" w:hAnsi="仿宋_GB2312" w:eastAsia="仿宋_GB2312" w:cs="仿宋_GB2312"/>
                <w:sz w:val="18"/>
                <w:szCs w:val="18"/>
              </w:rPr>
              <w:t>拒绝提供原始监测记录或原始监测记录造假的</w:t>
            </w:r>
          </w:p>
        </w:tc>
        <w:tc>
          <w:tcPr>
            <w:tcW w:w="1936" w:type="dxa"/>
          </w:tcPr>
          <w:p w14:paraId="5ABFAF0E">
            <w:pPr>
              <w:keepNext w:val="0"/>
              <w:keepLines w:val="0"/>
              <w:pageBreakBefore w:val="0"/>
              <w:widowControl w:val="0"/>
              <w:kinsoku/>
              <w:wordWrap/>
              <w:overflowPunct/>
              <w:topLinePunct w:val="0"/>
              <w:autoSpaceDE/>
              <w:autoSpaceDN/>
              <w:bidi w:val="0"/>
              <w:adjustRightInd w:val="0"/>
              <w:snapToGrid w:val="0"/>
              <w:spacing w:line="580" w:lineRule="exact"/>
              <w:jc w:val="center"/>
              <w:textAlignment w:val="auto"/>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rPr>
              <w:t>10万元以上</w:t>
            </w:r>
            <w:r>
              <w:rPr>
                <w:rFonts w:hint="eastAsia" w:ascii="仿宋_GB2312" w:hAnsi="仿宋_GB2312" w:eastAsia="仿宋_GB2312" w:cs="仿宋_GB2312"/>
                <w:sz w:val="18"/>
                <w:szCs w:val="18"/>
                <w:lang w:eastAsia="zh-CN"/>
              </w:rPr>
              <w:t>，</w:t>
            </w:r>
          </w:p>
          <w:p w14:paraId="76574FE9">
            <w:pPr>
              <w:keepNext w:val="0"/>
              <w:keepLines w:val="0"/>
              <w:pageBreakBefore w:val="0"/>
              <w:widowControl w:val="0"/>
              <w:kinsoku/>
              <w:wordWrap/>
              <w:overflowPunct/>
              <w:topLinePunct w:val="0"/>
              <w:autoSpaceDE/>
              <w:autoSpaceDN/>
              <w:bidi w:val="0"/>
              <w:spacing w:line="580" w:lineRule="exact"/>
              <w:jc w:val="left"/>
              <w:textAlignment w:val="auto"/>
              <w:rPr>
                <w:rFonts w:hint="eastAsia" w:ascii="仿宋" w:hAnsi="仿宋" w:eastAsia="仿宋" w:cs="仿宋"/>
                <w:b w:val="0"/>
                <w:kern w:val="2"/>
                <w:sz w:val="32"/>
                <w:szCs w:val="32"/>
                <w:vertAlign w:val="baseline"/>
                <w:lang w:val="en-US" w:eastAsia="zh-CN"/>
              </w:rPr>
            </w:pPr>
            <w:r>
              <w:rPr>
                <w:rFonts w:hint="eastAsia" w:ascii="仿宋_GB2312" w:hAnsi="仿宋_GB2312" w:eastAsia="仿宋_GB2312" w:cs="仿宋_GB2312"/>
                <w:sz w:val="18"/>
                <w:szCs w:val="18"/>
              </w:rPr>
              <w:t>20万元以下</w:t>
            </w:r>
          </w:p>
        </w:tc>
      </w:tr>
    </w:tbl>
    <w:p w14:paraId="15B1CEC8">
      <w:pPr>
        <w:keepNext w:val="0"/>
        <w:keepLines w:val="0"/>
        <w:pageBreakBefore w:val="0"/>
        <w:wordWrap/>
        <w:overflowPunct/>
        <w:topLinePunct w:val="0"/>
        <w:bidi w:val="0"/>
        <w:snapToGrid w:val="0"/>
        <w:spacing w:before="232" w:line="560" w:lineRule="exact"/>
        <w:ind w:right="3" w:firstLine="640" w:firstLineChars="200"/>
        <w:rPr>
          <w:rFonts w:ascii="仿宋" w:hAnsi="仿宋" w:eastAsia="仿宋" w:cs="仿宋"/>
          <w:sz w:val="30"/>
          <w:szCs w:val="30"/>
        </w:rPr>
      </w:pPr>
      <w:r>
        <w:rPr>
          <w:rFonts w:hint="eastAsia" w:ascii="仿宋_GB2312" w:hAnsi="仿宋_GB2312" w:eastAsia="仿宋_GB2312" w:cs="仿宋_GB2312"/>
          <w:color w:val="333333"/>
          <w:sz w:val="32"/>
          <w:szCs w:val="32"/>
          <w:lang w:val="en-US" w:eastAsia="zh-CN"/>
        </w:rPr>
        <w:t>你公司积极配合调查，违法行为轻微，未造成不良后果。经我局案件审议领导小组讨论后</w:t>
      </w:r>
      <w:r>
        <w:rPr>
          <w:rFonts w:ascii="仿宋" w:hAnsi="仿宋" w:eastAsia="仿宋" w:cs="仿宋"/>
          <w:spacing w:val="-3"/>
          <w:sz w:val="30"/>
          <w:szCs w:val="30"/>
        </w:rPr>
        <w:t>决定对你</w:t>
      </w:r>
      <w:r>
        <w:rPr>
          <w:rFonts w:hint="eastAsia" w:ascii="仿宋" w:hAnsi="仿宋" w:eastAsia="仿宋" w:cs="仿宋"/>
          <w:spacing w:val="-6"/>
          <w:sz w:val="30"/>
          <w:szCs w:val="30"/>
          <w:lang w:val="en-US" w:eastAsia="zh-CN"/>
        </w:rPr>
        <w:t>公司</w:t>
      </w:r>
      <w:r>
        <w:rPr>
          <w:rFonts w:ascii="仿宋" w:hAnsi="仿宋" w:eastAsia="仿宋" w:cs="仿宋"/>
          <w:spacing w:val="-6"/>
          <w:sz w:val="30"/>
          <w:szCs w:val="30"/>
        </w:rPr>
        <w:t>处以如下行政处罚：</w:t>
      </w:r>
    </w:p>
    <w:p w14:paraId="3798EF49">
      <w:pPr>
        <w:keepNext w:val="0"/>
        <w:keepLines w:val="0"/>
        <w:pageBreakBefore w:val="0"/>
        <w:widowControl w:val="0"/>
        <w:kinsoku/>
        <w:wordWrap/>
        <w:overflowPunct/>
        <w:topLinePunct w:val="0"/>
        <w:autoSpaceDE/>
        <w:autoSpaceDN/>
        <w:bidi w:val="0"/>
        <w:snapToGrid w:val="0"/>
        <w:spacing w:line="560" w:lineRule="exact"/>
        <w:ind w:firstLine="640" w:firstLineChars="200"/>
        <w:jc w:val="left"/>
        <w:textAlignment w:val="auto"/>
        <w:rPr>
          <w:rFonts w:hint="eastAsia" w:ascii="仿宋_GB2312" w:hAnsi="仿宋_GB2312" w:eastAsia="仿宋_GB2312" w:cs="仿宋_GB2312"/>
          <w:color w:val="333333"/>
          <w:sz w:val="32"/>
          <w:szCs w:val="32"/>
          <w:lang w:val="en-US" w:eastAsia="zh-CN"/>
        </w:rPr>
      </w:pPr>
      <w:r>
        <w:rPr>
          <w:rFonts w:hint="eastAsia" w:ascii="仿宋_GB2312" w:hAnsi="仿宋_GB2312" w:eastAsia="仿宋_GB2312" w:cs="仿宋_GB2312"/>
          <w:color w:val="333333"/>
          <w:sz w:val="32"/>
          <w:szCs w:val="32"/>
          <w:lang w:val="en-US" w:eastAsia="zh-CN"/>
        </w:rPr>
        <w:t>罚款贰万（20,000.00）元整。</w:t>
      </w:r>
    </w:p>
    <w:p w14:paraId="3847D5F7">
      <w:pPr>
        <w:keepNext w:val="0"/>
        <w:keepLines w:val="0"/>
        <w:pageBreakBefore w:val="0"/>
        <w:widowControl w:val="0"/>
        <w:kinsoku/>
        <w:wordWrap/>
        <w:overflowPunct/>
        <w:topLinePunct w:val="0"/>
        <w:autoSpaceDE/>
        <w:autoSpaceDN/>
        <w:bidi w:val="0"/>
        <w:snapToGrid w:val="0"/>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限于接到本处罚决定之日起十五日内到指定的银行或者通过电子支付系统缴纳罚款。逾期不缴纳罚款的，我局可以根据《中华人民共和国行政处罚法》第七十二条第一款第一项规定每日按罚款数额的百分之三加处罚款。</w:t>
      </w:r>
    </w:p>
    <w:p w14:paraId="234D1725">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sz w:val="32"/>
          <w:szCs w:val="32"/>
          <w:u w:val="none"/>
        </w:rPr>
      </w:pPr>
      <w:r>
        <w:rPr>
          <w:rFonts w:hint="eastAsia" w:ascii="仿宋_GB2312" w:hAnsi="仿宋_GB2312" w:eastAsia="仿宋_GB2312" w:cs="仿宋_GB2312"/>
          <w:sz w:val="32"/>
          <w:szCs w:val="32"/>
          <w:u w:val="none"/>
        </w:rPr>
        <w:t>你单位如不服本处罚决定，可在收到本处罚决定书之日起</w:t>
      </w:r>
      <w:r>
        <w:rPr>
          <w:rFonts w:hint="eastAsia" w:ascii="仿宋_GB2312" w:hAnsi="仿宋_GB2312" w:eastAsia="仿宋_GB2312" w:cs="仿宋_GB2312"/>
          <w:sz w:val="32"/>
          <w:szCs w:val="32"/>
          <w:u w:val="none"/>
          <w:lang w:val="en-US" w:eastAsia="zh-CN"/>
        </w:rPr>
        <w:t>六十</w:t>
      </w:r>
      <w:r>
        <w:rPr>
          <w:rFonts w:hint="eastAsia" w:ascii="仿宋_GB2312" w:hAnsi="仿宋_GB2312" w:eastAsia="仿宋_GB2312" w:cs="仿宋_GB2312"/>
          <w:sz w:val="32"/>
          <w:szCs w:val="32"/>
          <w:u w:val="none"/>
        </w:rPr>
        <w:t>日内向呼伦贝尔市人民政府申请行政复议，也可以在</w:t>
      </w:r>
      <w:r>
        <w:rPr>
          <w:rFonts w:hint="eastAsia" w:ascii="仿宋_GB2312" w:hAnsi="仿宋_GB2312" w:eastAsia="仿宋_GB2312" w:cs="仿宋_GB2312"/>
          <w:sz w:val="32"/>
          <w:szCs w:val="32"/>
          <w:u w:val="none"/>
          <w:lang w:val="en-US" w:eastAsia="zh-CN"/>
        </w:rPr>
        <w:t>六</w:t>
      </w:r>
      <w:r>
        <w:rPr>
          <w:rFonts w:hint="eastAsia" w:ascii="仿宋_GB2312" w:hAnsi="仿宋_GB2312" w:eastAsia="仿宋_GB2312" w:cs="仿宋_GB2312"/>
          <w:sz w:val="32"/>
          <w:szCs w:val="32"/>
          <w:u w:val="none"/>
        </w:rPr>
        <w:t>个月内向</w:t>
      </w:r>
      <w:r>
        <w:rPr>
          <w:rFonts w:hint="eastAsia" w:ascii="仿宋_GB2312" w:hAnsi="仿宋_GB2312" w:eastAsia="仿宋_GB2312" w:cs="仿宋_GB2312"/>
          <w:sz w:val="32"/>
          <w:szCs w:val="32"/>
          <w:u w:val="none"/>
          <w:lang w:val="en-US" w:eastAsia="zh-CN"/>
        </w:rPr>
        <w:t>海拉尔铁路运输</w:t>
      </w:r>
      <w:r>
        <w:rPr>
          <w:rFonts w:hint="eastAsia" w:ascii="仿宋_GB2312" w:hAnsi="仿宋_GB2312" w:eastAsia="仿宋_GB2312" w:cs="仿宋_GB2312"/>
          <w:sz w:val="32"/>
          <w:szCs w:val="32"/>
          <w:u w:val="none"/>
        </w:rPr>
        <w:t>法院提起行政诉讼。申请行政复议或者提起行政诉讼，不停止行政处罚决定的执行。</w:t>
      </w:r>
    </w:p>
    <w:p w14:paraId="5D619256">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sz w:val="32"/>
          <w:szCs w:val="32"/>
          <w:u w:val="none"/>
        </w:rPr>
      </w:pPr>
      <w:r>
        <w:rPr>
          <w:rFonts w:hint="eastAsia" w:ascii="仿宋_GB2312" w:hAnsi="仿宋_GB2312" w:eastAsia="仿宋_GB2312" w:cs="仿宋_GB2312"/>
          <w:sz w:val="32"/>
          <w:szCs w:val="32"/>
          <w:u w:val="none"/>
        </w:rPr>
        <w:t>逾期不申请行政复议，不提起行政诉讼，又不履行本处罚决定的，我局将依法申请人民法院强制执行。</w:t>
      </w:r>
    </w:p>
    <w:p w14:paraId="0B6FE382">
      <w:pPr>
        <w:pStyle w:val="2"/>
        <w:keepNext w:val="0"/>
        <w:keepLines w:val="0"/>
        <w:pageBreakBefore w:val="0"/>
        <w:wordWrap/>
        <w:overflowPunct/>
        <w:bidi w:val="0"/>
        <w:snapToGrid w:val="0"/>
        <w:spacing w:line="580" w:lineRule="exact"/>
      </w:pPr>
    </w:p>
    <w:p w14:paraId="6912D596">
      <w:pPr>
        <w:pStyle w:val="2"/>
        <w:keepNext w:val="0"/>
        <w:keepLines w:val="0"/>
        <w:pageBreakBefore w:val="0"/>
        <w:wordWrap/>
        <w:overflowPunct/>
        <w:bidi w:val="0"/>
        <w:snapToGrid w:val="0"/>
        <w:spacing w:line="580" w:lineRule="exact"/>
      </w:pPr>
    </w:p>
    <w:p w14:paraId="58EC8C78">
      <w:pPr>
        <w:keepNext w:val="0"/>
        <w:keepLines w:val="0"/>
        <w:pageBreakBefore w:val="0"/>
        <w:widowControl/>
        <w:kinsoku/>
        <w:wordWrap/>
        <w:overflowPunct/>
        <w:topLinePunct/>
        <w:autoSpaceDE/>
        <w:autoSpaceDN w:val="0"/>
        <w:bidi w:val="0"/>
        <w:adjustRightInd w:val="0"/>
        <w:snapToGrid w:val="0"/>
        <w:spacing w:line="580" w:lineRule="exact"/>
        <w:ind w:firstLine="4800" w:firstLineChars="15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呼伦贝</w:t>
      </w:r>
      <w:r>
        <w:rPr>
          <w:rFonts w:hint="eastAsia" w:ascii="仿宋_GB2312" w:hAnsi="仿宋_GB2312" w:eastAsia="仿宋_GB2312" w:cs="仿宋_GB2312"/>
          <w:sz w:val="32"/>
          <w:szCs w:val="32"/>
          <w:lang w:eastAsia="zh-CN"/>
        </w:rPr>
        <w:t>尔</w:t>
      </w:r>
      <w:r>
        <w:rPr>
          <w:rFonts w:hint="eastAsia" w:ascii="仿宋_GB2312" w:hAnsi="仿宋_GB2312" w:eastAsia="仿宋_GB2312" w:cs="仿宋_GB2312"/>
          <w:sz w:val="32"/>
          <w:szCs w:val="32"/>
        </w:rPr>
        <w:t xml:space="preserve">市生态环境局        </w:t>
      </w:r>
    </w:p>
    <w:p w14:paraId="40A2FBFD">
      <w:pPr>
        <w:keepNext w:val="0"/>
        <w:keepLines w:val="0"/>
        <w:pageBreakBefore w:val="0"/>
        <w:widowControl/>
        <w:kinsoku/>
        <w:wordWrap/>
        <w:overflowPunct/>
        <w:topLinePunct/>
        <w:autoSpaceDE/>
        <w:autoSpaceDN w:val="0"/>
        <w:bidi w:val="0"/>
        <w:adjustRightInd w:val="0"/>
        <w:snapToGrid w:val="0"/>
        <w:spacing w:line="580" w:lineRule="exact"/>
        <w:ind w:firstLine="5440" w:firstLineChars="1700"/>
        <w:textAlignment w:val="baseline"/>
      </w:pPr>
      <w:r>
        <w:rPr>
          <w:rFonts w:hint="eastAsia" w:ascii="仿宋_GB2312" w:hAnsi="仿宋_GB2312" w:eastAsia="仿宋_GB2312" w:cs="仿宋_GB2312"/>
          <w:sz w:val="32"/>
          <w:szCs w:val="32"/>
          <w:lang w:val="en-US" w:eastAsia="zh-CN"/>
        </w:rPr>
        <w:t>2024</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12</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15日</w:t>
      </w:r>
    </w:p>
    <w:p w14:paraId="42A43D55"/>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5FB6E">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E63896">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3E63896">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2B93131"/>
    <w:rsid w:val="02B931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Plain Text"/>
    <w:basedOn w:val="1"/>
    <w:autoRedefine/>
    <w:qFormat/>
    <w:uiPriority w:val="0"/>
    <w:rPr>
      <w:rFonts w:ascii="宋体" w:hAnsi="Courier New"/>
      <w:kern w:val="2"/>
      <w:sz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2025-02-25T07:08:00Z</dcterms:created>
  <dc:creator>a1 nits</dc:creator>
  <cp:lastModifiedBy>a1 nits</cp:lastModifiedBy>
  <dcterms:modified xsi:type="dcterms:W3CDTF">2025-02-25T07:10:03Z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0CE47153EF0D4B4DB7CF85FE67C2313C_11</vt:lpwstr>
  </property>
  <property fmtid="{D5CDD505-2E9C-101B-9397-08002B2CF9AE}" pid="4" name="KSOTemplateDocerSaveRecord">
    <vt:lpwstr>eyJoZGlkIjoiMTJhYWM5ZDE0OGVhYjFlNGVlM2MwNzkzZjdkZTdlZDQiLCJ1c2VySWQiOiI4MDUxNzE3MDgifQ==</vt:lpwstr>
  </property>
</Properties>
</file>