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353BA3">
      <w:pPr>
        <w:pStyle w:val="7"/>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呼伦贝尔市生态环境局</w:t>
      </w:r>
    </w:p>
    <w:p w14:paraId="34F34F8E">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22D57B3B">
      <w:pPr>
        <w:jc w:val="center"/>
        <w:rPr>
          <w:rFonts w:hint="eastAsia" w:ascii="仿宋_GB2312" w:hAnsi="仿宋_GB2312" w:eastAsia="仿宋_GB2312" w:cs="仿宋_GB2312"/>
          <w:b/>
          <w:bCs/>
          <w:sz w:val="32"/>
          <w:szCs w:val="32"/>
          <w:lang w:val="en-US" w:eastAsia="zh-CN"/>
        </w:rPr>
      </w:pPr>
    </w:p>
    <w:p w14:paraId="56D4F5DB">
      <w:pPr>
        <w:jc w:val="center"/>
        <w:rPr>
          <w:rFonts w:hint="eastAsia" w:ascii="仿宋_GB2312" w:hAnsi="仿宋_GB2312" w:eastAsia="仿宋_GB2312" w:cs="仿宋_GB2312"/>
          <w:b/>
          <w:bCs/>
          <w:sz w:val="32"/>
          <w:szCs w:val="32"/>
          <w:lang w:val="en-US" w:eastAsia="zh-CN"/>
        </w:rPr>
      </w:pPr>
      <w:bookmarkStart w:id="0" w:name="_GoBack"/>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r>
        <w:rPr>
          <w:rFonts w:hint="eastAsia" w:ascii="仿宋_GB2312" w:hAnsi="仿宋_GB2312" w:eastAsia="仿宋_GB2312" w:cs="仿宋_GB2312"/>
          <w:b/>
          <w:bCs/>
          <w:sz w:val="32"/>
          <w:szCs w:val="32"/>
          <w:lang w:val="en-US" w:eastAsia="zh-CN"/>
        </w:rPr>
        <w:t>2024</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030025号</w:t>
      </w:r>
    </w:p>
    <w:bookmarkEnd w:id="0"/>
    <w:p w14:paraId="1DF0E858">
      <w:pPr>
        <w:pStyle w:val="2"/>
        <w:keepNext w:val="0"/>
        <w:keepLines w:val="0"/>
        <w:pageBreakBefore w:val="0"/>
        <w:wordWrap/>
        <w:overflowPunct/>
        <w:topLinePunct w:val="0"/>
        <w:bidi w:val="0"/>
        <w:adjustRightInd w:val="0"/>
        <w:snapToGrid w:val="0"/>
        <w:spacing w:before="26" w:line="560" w:lineRule="exact"/>
        <w:ind w:right="102"/>
        <w:jc w:val="left"/>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当事人： 呼伦贝尔市巴林林业局</w:t>
      </w:r>
    </w:p>
    <w:p w14:paraId="0B9B7FFA">
      <w:pPr>
        <w:pStyle w:val="2"/>
        <w:keepNext w:val="0"/>
        <w:keepLines w:val="0"/>
        <w:pageBreakBefore w:val="0"/>
        <w:wordWrap/>
        <w:overflowPunct/>
        <w:topLinePunct w:val="0"/>
        <w:bidi w:val="0"/>
        <w:adjustRightInd w:val="0"/>
        <w:snapToGrid w:val="0"/>
        <w:spacing w:before="26" w:line="560" w:lineRule="exact"/>
        <w:ind w:right="102"/>
        <w:jc w:val="left"/>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社会信用代码：12152100743860351Q</w:t>
      </w:r>
    </w:p>
    <w:p w14:paraId="7955F929">
      <w:pPr>
        <w:pStyle w:val="2"/>
        <w:keepNext w:val="0"/>
        <w:keepLines w:val="0"/>
        <w:pageBreakBefore w:val="0"/>
        <w:wordWrap/>
        <w:overflowPunct/>
        <w:topLinePunct w:val="0"/>
        <w:bidi w:val="0"/>
        <w:adjustRightInd w:val="0"/>
        <w:snapToGrid w:val="0"/>
        <w:spacing w:before="26" w:line="560" w:lineRule="exact"/>
        <w:ind w:right="102"/>
        <w:jc w:val="left"/>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地址：牙克石市巴林镇</w:t>
      </w:r>
    </w:p>
    <w:p w14:paraId="5395EF67">
      <w:pPr>
        <w:pStyle w:val="2"/>
        <w:keepNext w:val="0"/>
        <w:keepLines w:val="0"/>
        <w:pageBreakBefore w:val="0"/>
        <w:wordWrap/>
        <w:overflowPunct/>
        <w:topLinePunct w:val="0"/>
        <w:bidi w:val="0"/>
        <w:adjustRightInd w:val="0"/>
        <w:snapToGrid w:val="0"/>
        <w:spacing w:before="26" w:line="560" w:lineRule="exact"/>
        <w:ind w:right="102"/>
        <w:jc w:val="left"/>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法定代表人：秘希刚</w:t>
      </w:r>
    </w:p>
    <w:p w14:paraId="081A06D1">
      <w:pPr>
        <w:pStyle w:val="2"/>
        <w:keepNext w:val="0"/>
        <w:keepLines w:val="0"/>
        <w:pageBreakBefore w:val="0"/>
        <w:wordWrap/>
        <w:overflowPunct/>
        <w:topLinePunct w:val="0"/>
        <w:bidi w:val="0"/>
        <w:adjustRightInd w:val="0"/>
        <w:snapToGrid w:val="0"/>
        <w:spacing w:before="26" w:line="560" w:lineRule="exact"/>
        <w:ind w:right="102" w:firstLine="640" w:firstLineChars="200"/>
        <w:jc w:val="left"/>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000000"/>
          <w:kern w:val="0"/>
          <w:sz w:val="32"/>
          <w:szCs w:val="32"/>
          <w:lang w:val="en-US" w:eastAsia="zh-CN" w:bidi="ar-SA"/>
        </w:rPr>
        <w:t>我局于2024年9月23日对你公司进行了调查，发现实施了以下环境违法行为：</w:t>
      </w:r>
    </w:p>
    <w:p w14:paraId="3F90011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牙克石市生态环境综合行政执法大队对你公司排污许可证执行情况进行现场执法检查，发现你公司由黑龙江省禹翔检测技术有限公司出具的报告编号：YXJC221024-03号，采样日期2022年10月24日、YXJC221121-06号，采样日期2022年11月21日、YXJC221207-03号，采样日期2022年12月7日、YXJC230119-01号，2023年1月19日、YXJC230210-01号，2023年2月10日、YXJC230306-04，2023年3月6日、YXJC220306-06号，以上监测报告未按照规定保存原始监测记录。</w:t>
      </w:r>
    </w:p>
    <w:p w14:paraId="375CEB6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违反法律规定的行为：</w:t>
      </w:r>
    </w:p>
    <w:p w14:paraId="10F909B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未保存原始监测记录。</w:t>
      </w:r>
    </w:p>
    <w:p w14:paraId="6CECD22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以上事实有：</w:t>
      </w:r>
    </w:p>
    <w:p w14:paraId="5E1F0C8E">
      <w:pPr>
        <w:pStyle w:val="8"/>
        <w:keepNext w:val="0"/>
        <w:keepLines w:val="0"/>
        <w:pageBreakBefore w:val="0"/>
        <w:widowControl w:val="0"/>
        <w:numPr>
          <w:ilvl w:val="0"/>
          <w:numId w:val="0"/>
        </w:numPr>
        <w:kinsoku/>
        <w:wordWrap/>
        <w:overflowPunct/>
        <w:topLinePunct w:val="0"/>
        <w:autoSpaceDE/>
        <w:autoSpaceDN/>
        <w:bidi w:val="0"/>
        <w:spacing w:before="191" w:line="580" w:lineRule="exact"/>
        <w:ind w:firstLine="63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napToGrid w:val="0"/>
          <w:color w:val="000000" w:themeColor="text1"/>
          <w:spacing w:val="-2"/>
          <w:kern w:val="0"/>
          <w:sz w:val="32"/>
          <w:szCs w:val="32"/>
          <w:lang w:val="en-US" w:eastAsia="zh-CN" w:bidi="ar-SA"/>
          <w14:textFill>
            <w14:solidFill>
              <w14:schemeClr w14:val="tx1"/>
            </w14:solidFill>
          </w14:textFill>
        </w:rPr>
        <w:t>1.呼伦贝尔市生态环境局现场检查（勘察）笔录1份。2.调查询问笔录1份。3.检测报告7份。4.技术咨询服务合同2份（用于证明该公司进行了自主监测）。5.营业执照复印件1份。6.法人身份证复印件1份（呼伦贝尔市巴林林业局办公室主任杨洪亿提供，证明该单位法定代表人身份信息）7.授权委托书1份（呼伦贝尔市巴林林业局办公室主任杨洪亿提供，证明其被授权办理相关生态环境工作事宜）8.受委托人身份证复印件1份（证明被授权人身份信息）9.执法人员执法证复印件1份（证明执法人员信息）</w:t>
      </w:r>
      <w:r>
        <w:rPr>
          <w:rFonts w:hint="eastAsia" w:ascii="仿宋_GB2312" w:hAnsi="仿宋_GB2312" w:eastAsia="仿宋_GB2312" w:cs="仿宋_GB2312"/>
          <w:sz w:val="32"/>
          <w:szCs w:val="32"/>
          <w:lang w:val="en-US" w:eastAsia="zh-CN"/>
        </w:rPr>
        <w:t>等证据为凭。</w:t>
      </w:r>
    </w:p>
    <w:p w14:paraId="4030A89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b w:val="0"/>
          <w:color w:val="000000" w:themeColor="text1"/>
          <w:kern w:val="2"/>
          <w:sz w:val="32"/>
          <w:szCs w:val="32"/>
          <w:lang w:val="en-US" w:eastAsia="zh-CN"/>
          <w14:textFill>
            <w14:solidFill>
              <w14:schemeClr w14:val="tx1"/>
            </w14:solidFill>
          </w14:textFill>
        </w:rPr>
      </w:pPr>
      <w:r>
        <w:rPr>
          <w:rFonts w:hint="eastAsia" w:ascii="仿宋" w:hAnsi="仿宋" w:eastAsia="仿宋" w:cs="仿宋"/>
          <w:b w:val="0"/>
          <w:color w:val="000000" w:themeColor="text1"/>
          <w:kern w:val="2"/>
          <w:sz w:val="32"/>
          <w:szCs w:val="32"/>
          <w:lang w:val="en-US" w:eastAsia="zh-CN"/>
          <w14:textFill>
            <w14:solidFill>
              <w14:schemeClr w14:val="tx1"/>
            </w14:solidFill>
          </w14:textFill>
        </w:rPr>
        <w:t>你公司的上述行为违反《排污许可管理条例》第十九条“排污单位应当按照排污许可证规定和有关标准规范，依法开展自行监测，并保存原始监测记录。原始监测记录保存期限不得少于5年。排污单位应当对自行监测数据的真实性、准确性负责，不得篡改、伪造。”的规定。</w:t>
      </w:r>
    </w:p>
    <w:p w14:paraId="6125D50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我局于</w:t>
      </w:r>
      <w:r>
        <w:rPr>
          <w:rFonts w:hint="eastAsia" w:ascii="仿宋_GB2312" w:hAnsi="仿宋_GB2312" w:eastAsia="仿宋_GB2312" w:cs="仿宋_GB2312"/>
          <w:sz w:val="32"/>
          <w:szCs w:val="32"/>
          <w:lang w:val="en-US" w:eastAsia="zh-CN"/>
        </w:rPr>
        <w:t>2024年12月4日</w:t>
      </w:r>
      <w:r>
        <w:rPr>
          <w:rFonts w:hint="eastAsia" w:ascii="仿宋_GB2312" w:hAnsi="仿宋_GB2312" w:eastAsia="仿宋_GB2312" w:cs="仿宋_GB2312"/>
          <w:sz w:val="32"/>
          <w:szCs w:val="32"/>
        </w:rPr>
        <w:t>以《行政处罚事先告知书》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呼</w:t>
      </w:r>
      <w:r>
        <w:rPr>
          <w:rFonts w:hint="eastAsia" w:ascii="仿宋_GB2312" w:hAnsi="仿宋_GB2312" w:eastAsia="仿宋_GB2312" w:cs="仿宋_GB2312"/>
          <w:sz w:val="32"/>
          <w:szCs w:val="32"/>
        </w:rPr>
        <w:t>环罚告〔</w:t>
      </w: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030025</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告知你</w:t>
      </w:r>
      <w:r>
        <w:rPr>
          <w:rFonts w:hint="eastAsia" w:ascii="仿宋_GB2312" w:hAnsi="仿宋_GB2312" w:eastAsia="仿宋_GB2312" w:cs="仿宋_GB2312"/>
          <w:sz w:val="32"/>
          <w:szCs w:val="32"/>
          <w:lang w:val="en-US" w:eastAsia="zh-CN"/>
        </w:rPr>
        <w:t>公司</w:t>
      </w:r>
      <w:r>
        <w:rPr>
          <w:rFonts w:hint="eastAsia" w:ascii="仿宋_GB2312" w:hAnsi="仿宋_GB2312" w:eastAsia="仿宋_GB2312" w:cs="仿宋_GB2312"/>
          <w:sz w:val="32"/>
          <w:szCs w:val="32"/>
        </w:rPr>
        <w:t>陈述申辩权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你公司在规定的时间内未提出陈述申辩。</w:t>
      </w:r>
    </w:p>
    <w:p w14:paraId="3746480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依据</w:t>
      </w:r>
      <w:r>
        <w:rPr>
          <w:rFonts w:hint="eastAsia" w:ascii="仿宋_GB2312" w:hAnsi="仿宋_GB2312" w:eastAsia="仿宋_GB2312" w:cs="仿宋_GB2312"/>
          <w:b/>
          <w:bCs/>
          <w:sz w:val="32"/>
          <w:szCs w:val="32"/>
          <w:lang w:val="en-US" w:eastAsia="zh-CN"/>
        </w:rPr>
        <w:t>《排污许可管理条例》第三十六条</w:t>
      </w:r>
      <w:r>
        <w:rPr>
          <w:rFonts w:hint="eastAsia" w:ascii="仿宋_GB2312" w:hAnsi="仿宋_GB2312" w:eastAsia="仿宋_GB2312" w:cs="仿宋_GB2312"/>
          <w:sz w:val="32"/>
          <w:szCs w:val="32"/>
          <w:lang w:val="en-US" w:eastAsia="zh-CN"/>
        </w:rPr>
        <w:t>“违反本条例规定，排污单位有下列行为之一的，由生态环境主管部门责令改正，处2万元以上20万元以下的罚款；拒不改正的，责令停产整治：（六）未按照排污许可证规定保存原始监测记录。”的规定予以处罚。</w:t>
      </w:r>
    </w:p>
    <w:p w14:paraId="3705D848">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color w:val="333333"/>
          <w:sz w:val="32"/>
          <w:szCs w:val="32"/>
        </w:rPr>
        <w:t>依据《</w:t>
      </w:r>
      <w:r>
        <w:rPr>
          <w:rFonts w:hint="eastAsia" w:ascii="仿宋_GB2312" w:hAnsi="仿宋_GB2312" w:eastAsia="仿宋_GB2312" w:cs="仿宋_GB2312"/>
          <w:b/>
          <w:bCs/>
          <w:spacing w:val="-6"/>
          <w:sz w:val="32"/>
          <w:szCs w:val="32"/>
        </w:rPr>
        <w:t>内蒙古自治区生态环境</w:t>
      </w:r>
      <w:r>
        <w:rPr>
          <w:rFonts w:hint="eastAsia" w:ascii="仿宋_GB2312" w:hAnsi="仿宋_GB2312" w:eastAsia="仿宋_GB2312" w:cs="仿宋_GB2312"/>
          <w:b/>
          <w:bCs/>
          <w:spacing w:val="-6"/>
          <w:sz w:val="32"/>
          <w:szCs w:val="32"/>
          <w:lang w:eastAsia="zh-CN"/>
        </w:rPr>
        <w:t>系统</w:t>
      </w:r>
      <w:r>
        <w:rPr>
          <w:rFonts w:hint="eastAsia" w:ascii="仿宋_GB2312" w:hAnsi="仿宋_GB2312" w:eastAsia="仿宋_GB2312" w:cs="仿宋_GB2312"/>
          <w:b/>
          <w:bCs/>
          <w:spacing w:val="-6"/>
          <w:sz w:val="32"/>
          <w:szCs w:val="32"/>
        </w:rPr>
        <w:t>行政处罚裁量基准规定（试行）</w:t>
      </w:r>
      <w:r>
        <w:rPr>
          <w:rFonts w:hint="eastAsia" w:ascii="仿宋_GB2312" w:hAnsi="仿宋_GB2312" w:eastAsia="仿宋_GB2312" w:cs="仿宋_GB2312"/>
          <w:b/>
          <w:bCs/>
          <w:color w:val="333333"/>
          <w:sz w:val="32"/>
          <w:szCs w:val="32"/>
        </w:rPr>
        <w:t>》裁量</w:t>
      </w:r>
      <w:r>
        <w:rPr>
          <w:rFonts w:hint="eastAsia" w:ascii="仿宋_GB2312" w:hAnsi="仿宋_GB2312" w:eastAsia="仿宋_GB2312" w:cs="仿宋_GB2312"/>
          <w:color w:val="333333"/>
          <w:sz w:val="32"/>
          <w:szCs w:val="32"/>
        </w:rPr>
        <w:t>如下：</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326"/>
        <w:gridCol w:w="1936"/>
      </w:tblGrid>
      <w:tr w14:paraId="5FE94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Merge w:val="restart"/>
          </w:tcPr>
          <w:p w14:paraId="0F382AC9">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_GB2312" w:hAnsi="仿宋_GB2312" w:eastAsia="仿宋_GB2312" w:cs="仿宋_GB2312"/>
                <w:sz w:val="18"/>
                <w:szCs w:val="18"/>
              </w:rPr>
            </w:pPr>
          </w:p>
          <w:p w14:paraId="1BFB0987">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_GB2312" w:hAnsi="仿宋_GB2312" w:eastAsia="仿宋_GB2312" w:cs="仿宋_GB2312"/>
                <w:sz w:val="18"/>
                <w:szCs w:val="18"/>
              </w:rPr>
            </w:pPr>
          </w:p>
          <w:p w14:paraId="28F5577A">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（六）未按照排污许可证规定保存原始监测记录</w:t>
            </w:r>
          </w:p>
        </w:tc>
        <w:tc>
          <w:tcPr>
            <w:tcW w:w="2130" w:type="dxa"/>
            <w:vMerge w:val="restart"/>
          </w:tcPr>
          <w:p w14:paraId="4A8147D8">
            <w:pPr>
              <w:keepNext w:val="0"/>
              <w:keepLines w:val="0"/>
              <w:pageBreakBefore w:val="0"/>
              <w:widowControl w:val="0"/>
              <w:kinsoku/>
              <w:wordWrap/>
              <w:overflowPunct/>
              <w:topLinePunct w:val="0"/>
              <w:autoSpaceDE/>
              <w:autoSpaceDN/>
              <w:bidi w:val="0"/>
              <w:adjustRightInd w:val="0"/>
              <w:snapToGrid w:val="0"/>
              <w:spacing w:line="580" w:lineRule="exact"/>
              <w:jc w:val="left"/>
              <w:textAlignment w:val="auto"/>
              <w:rPr>
                <w:rFonts w:hint="eastAsia" w:ascii="仿宋_GB2312" w:hAnsi="仿宋_GB2312" w:eastAsia="仿宋_GB2312" w:cs="仿宋_GB2312"/>
                <w:sz w:val="18"/>
                <w:szCs w:val="18"/>
              </w:rPr>
            </w:pPr>
          </w:p>
          <w:p w14:paraId="7BCB0429">
            <w:pPr>
              <w:keepNext w:val="0"/>
              <w:keepLines w:val="0"/>
              <w:pageBreakBefore w:val="0"/>
              <w:widowControl w:val="0"/>
              <w:kinsoku/>
              <w:wordWrap/>
              <w:overflowPunct/>
              <w:topLinePunct w:val="0"/>
              <w:autoSpaceDE/>
              <w:autoSpaceDN/>
              <w:bidi w:val="0"/>
              <w:adjustRightInd w:val="0"/>
              <w:snapToGrid w:val="0"/>
              <w:spacing w:line="580" w:lineRule="exact"/>
              <w:jc w:val="left"/>
              <w:textAlignment w:val="auto"/>
              <w:rPr>
                <w:rFonts w:hint="eastAsia" w:ascii="仿宋_GB2312" w:hAnsi="仿宋_GB2312" w:eastAsia="仿宋_GB2312" w:cs="仿宋_GB2312"/>
                <w:sz w:val="18"/>
                <w:szCs w:val="18"/>
              </w:rPr>
            </w:pPr>
          </w:p>
          <w:p w14:paraId="5FCE2D27">
            <w:pPr>
              <w:keepNext w:val="0"/>
              <w:keepLines w:val="0"/>
              <w:pageBreakBefore w:val="0"/>
              <w:widowControl w:val="0"/>
              <w:kinsoku/>
              <w:wordWrap/>
              <w:overflowPunct/>
              <w:topLinePunct w:val="0"/>
              <w:autoSpaceDE/>
              <w:autoSpaceDN/>
              <w:bidi w:val="0"/>
              <w:adjustRightInd w:val="0"/>
              <w:snapToGrid w:val="0"/>
              <w:spacing w:line="580" w:lineRule="exact"/>
              <w:jc w:val="left"/>
              <w:textAlignment w:val="auto"/>
              <w:rPr>
                <w:rFonts w:hint="eastAsia" w:ascii="仿宋_GB2312" w:hAnsi="仿宋_GB2312" w:eastAsia="仿宋_GB2312" w:cs="仿宋_GB2312"/>
                <w:sz w:val="18"/>
                <w:szCs w:val="18"/>
              </w:rPr>
            </w:pPr>
          </w:p>
          <w:p w14:paraId="5473E0A6">
            <w:pPr>
              <w:keepNext w:val="0"/>
              <w:keepLines w:val="0"/>
              <w:pageBreakBefore w:val="0"/>
              <w:widowControl w:val="0"/>
              <w:kinsoku/>
              <w:wordWrap/>
              <w:overflowPunct/>
              <w:topLinePunct w:val="0"/>
              <w:autoSpaceDE/>
              <w:autoSpaceDN/>
              <w:bidi w:val="0"/>
              <w:adjustRightInd w:val="0"/>
              <w:snapToGrid w:val="0"/>
              <w:spacing w:line="580" w:lineRule="exact"/>
              <w:jc w:val="left"/>
              <w:textAlignment w:val="auto"/>
              <w:rPr>
                <w:rFonts w:ascii="仿宋_GB2312" w:hAnsi="仿宋_GB2312" w:eastAsia="仿宋_GB2312" w:cs="仿宋_GB2312"/>
                <w:sz w:val="18"/>
                <w:szCs w:val="18"/>
              </w:rPr>
            </w:pPr>
            <w:r>
              <w:rPr>
                <w:rFonts w:hint="eastAsia" w:ascii="仿宋_GB2312" w:hAnsi="仿宋_GB2312" w:eastAsia="仿宋_GB2312" w:cs="仿宋_GB2312"/>
                <w:sz w:val="18"/>
                <w:szCs w:val="18"/>
              </w:rPr>
              <w:t>2万元以上</w:t>
            </w:r>
          </w:p>
          <w:p w14:paraId="750B9CDB">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pacing w:val="-20"/>
                <w:sz w:val="18"/>
                <w:szCs w:val="18"/>
              </w:rPr>
              <w:t>20</w:t>
            </w:r>
            <w:r>
              <w:rPr>
                <w:rFonts w:hint="eastAsia" w:ascii="仿宋_GB2312" w:hAnsi="仿宋_GB2312" w:eastAsia="仿宋_GB2312" w:cs="仿宋_GB2312"/>
                <w:sz w:val="18"/>
                <w:szCs w:val="18"/>
              </w:rPr>
              <w:t>万元以下</w:t>
            </w:r>
          </w:p>
        </w:tc>
        <w:tc>
          <w:tcPr>
            <w:tcW w:w="2326" w:type="dxa"/>
          </w:tcPr>
          <w:p w14:paraId="4D383112">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原始监测记录不规范、项目不全或者建立和保存原始监测记录时间低于5年的</w:t>
            </w:r>
          </w:p>
        </w:tc>
        <w:tc>
          <w:tcPr>
            <w:tcW w:w="1936" w:type="dxa"/>
          </w:tcPr>
          <w:p w14:paraId="05C3B09A">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rPr>
              <w:t>2万元以上</w:t>
            </w:r>
            <w:r>
              <w:rPr>
                <w:rFonts w:hint="eastAsia" w:ascii="仿宋_GB2312" w:hAnsi="仿宋_GB2312" w:eastAsia="仿宋_GB2312" w:cs="仿宋_GB2312"/>
                <w:sz w:val="18"/>
                <w:szCs w:val="18"/>
                <w:lang w:eastAsia="zh-CN"/>
              </w:rPr>
              <w:t>，</w:t>
            </w:r>
          </w:p>
          <w:p w14:paraId="656B6A47">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不足5万元</w:t>
            </w:r>
          </w:p>
        </w:tc>
      </w:tr>
      <w:tr w14:paraId="32CB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Merge w:val="continue"/>
          </w:tcPr>
          <w:p w14:paraId="66506843">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p>
        </w:tc>
        <w:tc>
          <w:tcPr>
            <w:tcW w:w="2130" w:type="dxa"/>
            <w:vMerge w:val="continue"/>
          </w:tcPr>
          <w:p w14:paraId="26C96511">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p>
        </w:tc>
        <w:tc>
          <w:tcPr>
            <w:tcW w:w="2326" w:type="dxa"/>
          </w:tcPr>
          <w:p w14:paraId="5572521F">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未按规定保存原始监测记录的</w:t>
            </w:r>
          </w:p>
        </w:tc>
        <w:tc>
          <w:tcPr>
            <w:tcW w:w="1936" w:type="dxa"/>
          </w:tcPr>
          <w:p w14:paraId="0773CE60">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rPr>
              <w:t>5万元以上</w:t>
            </w:r>
            <w:r>
              <w:rPr>
                <w:rFonts w:hint="eastAsia" w:ascii="仿宋_GB2312" w:hAnsi="仿宋_GB2312" w:eastAsia="仿宋_GB2312" w:cs="仿宋_GB2312"/>
                <w:sz w:val="18"/>
                <w:szCs w:val="18"/>
                <w:lang w:eastAsia="zh-CN"/>
              </w:rPr>
              <w:t>，</w:t>
            </w:r>
          </w:p>
          <w:p w14:paraId="028A329D">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不足10万元</w:t>
            </w:r>
          </w:p>
        </w:tc>
      </w:tr>
      <w:tr w14:paraId="113F0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Merge w:val="continue"/>
          </w:tcPr>
          <w:p w14:paraId="4F5CA0F9">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p>
        </w:tc>
        <w:tc>
          <w:tcPr>
            <w:tcW w:w="2130" w:type="dxa"/>
            <w:vMerge w:val="continue"/>
          </w:tcPr>
          <w:p w14:paraId="4DC70E3B">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p>
        </w:tc>
        <w:tc>
          <w:tcPr>
            <w:tcW w:w="2326" w:type="dxa"/>
          </w:tcPr>
          <w:p w14:paraId="3E6DFD88">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拒绝提供原始监测记录或原始监测记录造假的</w:t>
            </w:r>
          </w:p>
        </w:tc>
        <w:tc>
          <w:tcPr>
            <w:tcW w:w="1936" w:type="dxa"/>
          </w:tcPr>
          <w:p w14:paraId="5ABFAF0E">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rPr>
              <w:t>10万元以上</w:t>
            </w:r>
            <w:r>
              <w:rPr>
                <w:rFonts w:hint="eastAsia" w:ascii="仿宋_GB2312" w:hAnsi="仿宋_GB2312" w:eastAsia="仿宋_GB2312" w:cs="仿宋_GB2312"/>
                <w:sz w:val="18"/>
                <w:szCs w:val="18"/>
                <w:lang w:eastAsia="zh-CN"/>
              </w:rPr>
              <w:t>，</w:t>
            </w:r>
          </w:p>
          <w:p w14:paraId="76574FE9">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 w:hAnsi="仿宋" w:eastAsia="仿宋" w:cs="仿宋"/>
                <w:b w:val="0"/>
                <w:kern w:val="2"/>
                <w:sz w:val="32"/>
                <w:szCs w:val="32"/>
                <w:vertAlign w:val="baseline"/>
                <w:lang w:val="en-US" w:eastAsia="zh-CN"/>
              </w:rPr>
            </w:pPr>
            <w:r>
              <w:rPr>
                <w:rFonts w:hint="eastAsia" w:ascii="仿宋_GB2312" w:hAnsi="仿宋_GB2312" w:eastAsia="仿宋_GB2312" w:cs="仿宋_GB2312"/>
                <w:sz w:val="18"/>
                <w:szCs w:val="18"/>
              </w:rPr>
              <w:t>20万元以下</w:t>
            </w:r>
          </w:p>
        </w:tc>
      </w:tr>
    </w:tbl>
    <w:p w14:paraId="15B1CEC8">
      <w:pPr>
        <w:keepNext w:val="0"/>
        <w:keepLines w:val="0"/>
        <w:pageBreakBefore w:val="0"/>
        <w:wordWrap/>
        <w:overflowPunct/>
        <w:topLinePunct w:val="0"/>
        <w:bidi w:val="0"/>
        <w:snapToGrid w:val="0"/>
        <w:spacing w:before="232" w:line="560" w:lineRule="exact"/>
        <w:ind w:right="3" w:firstLine="640" w:firstLineChars="200"/>
        <w:rPr>
          <w:rFonts w:ascii="仿宋" w:hAnsi="仿宋" w:eastAsia="仿宋" w:cs="仿宋"/>
          <w:sz w:val="30"/>
          <w:szCs w:val="30"/>
        </w:rPr>
      </w:pPr>
      <w:r>
        <w:rPr>
          <w:rFonts w:hint="eastAsia" w:ascii="仿宋_GB2312" w:hAnsi="仿宋_GB2312" w:eastAsia="仿宋_GB2312" w:cs="仿宋_GB2312"/>
          <w:color w:val="333333"/>
          <w:sz w:val="32"/>
          <w:szCs w:val="32"/>
          <w:lang w:val="en-US" w:eastAsia="zh-CN"/>
        </w:rPr>
        <w:t>你公司积极配合调查，违法行为轻微，未造成不良后果。经我局案件审议领导小组讨论后</w:t>
      </w:r>
      <w:r>
        <w:rPr>
          <w:rFonts w:ascii="仿宋" w:hAnsi="仿宋" w:eastAsia="仿宋" w:cs="仿宋"/>
          <w:spacing w:val="-3"/>
          <w:sz w:val="30"/>
          <w:szCs w:val="30"/>
        </w:rPr>
        <w:t>决定对你</w:t>
      </w:r>
      <w:r>
        <w:rPr>
          <w:rFonts w:hint="eastAsia" w:ascii="仿宋" w:hAnsi="仿宋" w:eastAsia="仿宋" w:cs="仿宋"/>
          <w:spacing w:val="-6"/>
          <w:sz w:val="30"/>
          <w:szCs w:val="30"/>
          <w:lang w:val="en-US" w:eastAsia="zh-CN"/>
        </w:rPr>
        <w:t>公司</w:t>
      </w:r>
      <w:r>
        <w:rPr>
          <w:rFonts w:ascii="仿宋" w:hAnsi="仿宋" w:eastAsia="仿宋" w:cs="仿宋"/>
          <w:spacing w:val="-6"/>
          <w:sz w:val="30"/>
          <w:szCs w:val="30"/>
        </w:rPr>
        <w:t>处以如下行政处罚：</w:t>
      </w:r>
    </w:p>
    <w:p w14:paraId="3798EF49">
      <w:pPr>
        <w:keepNext w:val="0"/>
        <w:keepLines w:val="0"/>
        <w:pageBreakBefore w:val="0"/>
        <w:widowControl w:val="0"/>
        <w:kinsoku/>
        <w:wordWrap/>
        <w:overflowPunct/>
        <w:topLinePunct w:val="0"/>
        <w:autoSpaceDE/>
        <w:autoSpaceDN/>
        <w:bidi w:val="0"/>
        <w:snapToGrid w:val="0"/>
        <w:spacing w:line="56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罚款贰万（20,000.00）元整。</w:t>
      </w:r>
    </w:p>
    <w:p w14:paraId="3847D5F7">
      <w:pPr>
        <w:keepNext w:val="0"/>
        <w:keepLines w:val="0"/>
        <w:pageBreakBefore w:val="0"/>
        <w:widowControl w:val="0"/>
        <w:kinsoku/>
        <w:wordWrap/>
        <w:overflowPunct/>
        <w:topLinePunct w:val="0"/>
        <w:autoSpaceDE/>
        <w:autoSpaceDN/>
        <w:bidi w:val="0"/>
        <w:snapToGrid w:val="0"/>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34D172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你单位如不服本处罚决定，可在收到本处罚决定书之日起</w:t>
      </w:r>
      <w:r>
        <w:rPr>
          <w:rFonts w:hint="eastAsia" w:ascii="仿宋_GB2312" w:hAnsi="仿宋_GB2312" w:eastAsia="仿宋_GB2312" w:cs="仿宋_GB2312"/>
          <w:sz w:val="32"/>
          <w:szCs w:val="32"/>
          <w:u w:val="none"/>
          <w:lang w:val="en-US" w:eastAsia="zh-CN"/>
        </w:rPr>
        <w:t>六十</w:t>
      </w:r>
      <w:r>
        <w:rPr>
          <w:rFonts w:hint="eastAsia" w:ascii="仿宋_GB2312" w:hAnsi="仿宋_GB2312" w:eastAsia="仿宋_GB2312" w:cs="仿宋_GB2312"/>
          <w:sz w:val="32"/>
          <w:szCs w:val="32"/>
          <w:u w:val="none"/>
        </w:rPr>
        <w:t>日内向呼伦贝尔市人民政府申请行政复议，也可以在</w:t>
      </w:r>
      <w:r>
        <w:rPr>
          <w:rFonts w:hint="eastAsia" w:ascii="仿宋_GB2312" w:hAnsi="仿宋_GB2312" w:eastAsia="仿宋_GB2312" w:cs="仿宋_GB2312"/>
          <w:sz w:val="32"/>
          <w:szCs w:val="32"/>
          <w:u w:val="none"/>
          <w:lang w:val="en-US" w:eastAsia="zh-CN"/>
        </w:rPr>
        <w:t>六</w:t>
      </w:r>
      <w:r>
        <w:rPr>
          <w:rFonts w:hint="eastAsia" w:ascii="仿宋_GB2312" w:hAnsi="仿宋_GB2312" w:eastAsia="仿宋_GB2312" w:cs="仿宋_GB2312"/>
          <w:sz w:val="32"/>
          <w:szCs w:val="32"/>
          <w:u w:val="none"/>
        </w:rPr>
        <w:t>个月内向</w:t>
      </w:r>
      <w:r>
        <w:rPr>
          <w:rFonts w:hint="eastAsia" w:ascii="仿宋_GB2312" w:hAnsi="仿宋_GB2312" w:eastAsia="仿宋_GB2312" w:cs="仿宋_GB2312"/>
          <w:sz w:val="32"/>
          <w:szCs w:val="32"/>
          <w:u w:val="none"/>
          <w:lang w:val="en-US" w:eastAsia="zh-CN"/>
        </w:rPr>
        <w:t>海拉尔铁路运输</w:t>
      </w:r>
      <w:r>
        <w:rPr>
          <w:rFonts w:hint="eastAsia" w:ascii="仿宋_GB2312" w:hAnsi="仿宋_GB2312" w:eastAsia="仿宋_GB2312" w:cs="仿宋_GB2312"/>
          <w:sz w:val="32"/>
          <w:szCs w:val="32"/>
          <w:u w:val="none"/>
        </w:rPr>
        <w:t>法院提起行政诉讼。申请行政复议或者提起行政诉讼，不停止行政处罚决定的执行。</w:t>
      </w:r>
    </w:p>
    <w:p w14:paraId="5D619256">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逾期不申请行政复议，不提起行政诉讼，又不履行本处罚决定的，我局将依法申请人民法院强制执行。</w:t>
      </w:r>
    </w:p>
    <w:p w14:paraId="0B6FE382">
      <w:pPr>
        <w:pStyle w:val="2"/>
        <w:keepNext w:val="0"/>
        <w:keepLines w:val="0"/>
        <w:pageBreakBefore w:val="0"/>
        <w:wordWrap/>
        <w:overflowPunct/>
        <w:bidi w:val="0"/>
        <w:snapToGrid w:val="0"/>
        <w:spacing w:line="580" w:lineRule="exact"/>
      </w:pPr>
    </w:p>
    <w:p w14:paraId="6912D596">
      <w:pPr>
        <w:pStyle w:val="2"/>
        <w:keepNext w:val="0"/>
        <w:keepLines w:val="0"/>
        <w:pageBreakBefore w:val="0"/>
        <w:wordWrap/>
        <w:overflowPunct/>
        <w:bidi w:val="0"/>
        <w:snapToGrid w:val="0"/>
        <w:spacing w:line="580" w:lineRule="exact"/>
      </w:pPr>
    </w:p>
    <w:p w14:paraId="58EC8C78">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10010184">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pP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15日</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4D4A76"/>
    <w:rsid w:val="054D4A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Plain Text"/>
    <w:basedOn w:val="1"/>
    <w:autoRedefine/>
    <w:qFormat/>
    <w:uiPriority w:val="0"/>
    <w:rPr>
      <w:rFonts w:ascii="宋体" w:hAnsi="Courier New"/>
      <w:kern w:val="2"/>
      <w:sz w:val="21"/>
    </w:rPr>
  </w:style>
  <w:style w:type="paragraph" w:customStyle="1" w:styleId="8">
    <w:name w:val="Table Text"/>
    <w:basedOn w:val="1"/>
    <w:autoRedefine/>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2025-02-25T07:10:00Z</dcterms:created>
  <dc:creator>a1 nits</dc:creator>
  <cp:lastModifiedBy>a1 nits</cp:lastModifiedBy>
  <dcterms:modified xsi:type="dcterms:W3CDTF">2025-02-25T07:12:49Z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41335D99B3744E99BA5549B7454F6C89_11</vt:lpwstr>
  </property>
  <property fmtid="{D5CDD505-2E9C-101B-9397-08002B2CF9AE}" pid="4" name="KSOTemplateDocerSaveRecord">
    <vt:lpwstr>eyJoZGlkIjoiMTJhYWM5ZDE0OGVhYjFlNGVlM2MwNzkzZjdkZTdlZDQiLCJ1c2VySWQiOiI4MDUxNzE3MDgifQ==</vt:lpwstr>
  </property>
</Properties>
</file>