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353BA3">
      <w:pPr>
        <w:pStyle w:val="6"/>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呼伦贝尔市生态环境局</w:t>
      </w:r>
    </w:p>
    <w:p w14:paraId="34F34F8E">
      <w:pPr>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行政处罚决定书</w:t>
      </w:r>
    </w:p>
    <w:p w14:paraId="22D57B3B">
      <w:pPr>
        <w:jc w:val="center"/>
        <w:rPr>
          <w:rFonts w:hint="eastAsia" w:ascii="仿宋_GB2312" w:hAnsi="仿宋_GB2312" w:eastAsia="仿宋_GB2312" w:cs="仿宋_GB2312"/>
          <w:b/>
          <w:bCs/>
          <w:sz w:val="32"/>
          <w:szCs w:val="32"/>
          <w:lang w:val="en-US" w:eastAsia="zh-CN"/>
        </w:rPr>
      </w:pPr>
    </w:p>
    <w:p w14:paraId="56D4F5DB">
      <w:pPr>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呼</w:t>
      </w:r>
      <w:r>
        <w:rPr>
          <w:rFonts w:hint="eastAsia" w:ascii="仿宋_GB2312" w:hAnsi="仿宋_GB2312" w:eastAsia="仿宋_GB2312" w:cs="仿宋_GB2312"/>
          <w:b/>
          <w:bCs/>
          <w:sz w:val="32"/>
          <w:szCs w:val="32"/>
        </w:rPr>
        <w:t>环罚〔</w:t>
      </w:r>
      <w:r>
        <w:rPr>
          <w:rFonts w:hint="eastAsia" w:ascii="仿宋_GB2312" w:hAnsi="仿宋_GB2312" w:eastAsia="仿宋_GB2312" w:cs="仿宋_GB2312"/>
          <w:b/>
          <w:bCs/>
          <w:sz w:val="32"/>
          <w:szCs w:val="32"/>
          <w:lang w:val="en-US" w:eastAsia="zh-CN"/>
        </w:rPr>
        <w:t>2024</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030026号</w:t>
      </w:r>
    </w:p>
    <w:p w14:paraId="49B504F6">
      <w:pPr>
        <w:keepNext w:val="0"/>
        <w:keepLines w:val="0"/>
        <w:pageBreakBefore w:val="0"/>
        <w:widowControl w:val="0"/>
        <w:kinsoku/>
        <w:wordWrap/>
        <w:overflowPunct/>
        <w:topLinePunct w:val="0"/>
        <w:autoSpaceDE/>
        <w:autoSpaceDN/>
        <w:bidi w:val="0"/>
        <w:spacing w:line="580" w:lineRule="exact"/>
        <w:jc w:val="both"/>
        <w:textAlignment w:val="auto"/>
        <w:rPr>
          <w:rFonts w:hint="eastAsia" w:ascii="仿宋_GB2312" w:hAnsi="仿宋_GB2312" w:eastAsia="仿宋_GB2312" w:cs="仿宋_GB2312"/>
          <w:b/>
          <w:bCs/>
          <w:kern w:val="2"/>
          <w:sz w:val="32"/>
          <w:szCs w:val="32"/>
          <w:lang w:val="en-US" w:eastAsia="zh-CN"/>
        </w:rPr>
      </w:pPr>
      <w:r>
        <w:rPr>
          <w:rFonts w:hint="eastAsia" w:ascii="仿宋_GB2312" w:hAnsi="仿宋_GB2312" w:eastAsia="仿宋_GB2312" w:cs="仿宋_GB2312"/>
          <w:b/>
          <w:bCs/>
          <w:kern w:val="2"/>
          <w:sz w:val="32"/>
          <w:szCs w:val="32"/>
          <w:lang w:val="en-US" w:eastAsia="zh-CN"/>
        </w:rPr>
        <w:t>当事人：呼伦贝尔北方药业有限公司</w:t>
      </w:r>
    </w:p>
    <w:p w14:paraId="775CEDF8">
      <w:pPr>
        <w:keepNext w:val="0"/>
        <w:keepLines w:val="0"/>
        <w:pageBreakBefore w:val="0"/>
        <w:widowControl w:val="0"/>
        <w:kinsoku/>
        <w:wordWrap/>
        <w:overflowPunct/>
        <w:topLinePunct w:val="0"/>
        <w:autoSpaceDE/>
        <w:autoSpaceDN/>
        <w:bidi w:val="0"/>
        <w:spacing w:line="580" w:lineRule="exact"/>
        <w:jc w:val="both"/>
        <w:textAlignment w:val="auto"/>
        <w:rPr>
          <w:rFonts w:hint="eastAsia" w:ascii="仿宋_GB2312" w:hAnsi="仿宋_GB2312" w:eastAsia="仿宋_GB2312" w:cs="仿宋_GB2312"/>
          <w:b/>
          <w:bCs/>
          <w:kern w:val="2"/>
          <w:sz w:val="32"/>
          <w:szCs w:val="32"/>
          <w:lang w:val="en-US" w:eastAsia="zh-CN"/>
        </w:rPr>
      </w:pPr>
      <w:r>
        <w:rPr>
          <w:rFonts w:hint="eastAsia" w:ascii="仿宋_GB2312" w:hAnsi="仿宋_GB2312" w:eastAsia="仿宋_GB2312" w:cs="仿宋_GB2312"/>
          <w:b/>
          <w:bCs/>
          <w:kern w:val="2"/>
          <w:sz w:val="32"/>
          <w:szCs w:val="32"/>
          <w:lang w:val="en-US" w:eastAsia="zh-CN"/>
        </w:rPr>
        <w:t>社会信用代码：91150782686543623L</w:t>
      </w:r>
    </w:p>
    <w:p w14:paraId="7E8E859E">
      <w:pPr>
        <w:keepNext w:val="0"/>
        <w:keepLines w:val="0"/>
        <w:pageBreakBefore w:val="0"/>
        <w:widowControl w:val="0"/>
        <w:kinsoku/>
        <w:wordWrap/>
        <w:overflowPunct/>
        <w:topLinePunct w:val="0"/>
        <w:autoSpaceDE/>
        <w:autoSpaceDN/>
        <w:bidi w:val="0"/>
        <w:spacing w:line="580" w:lineRule="exact"/>
        <w:jc w:val="both"/>
        <w:textAlignment w:val="auto"/>
        <w:rPr>
          <w:rFonts w:hint="eastAsia" w:ascii="仿宋_GB2312" w:hAnsi="仿宋_GB2312" w:eastAsia="仿宋_GB2312" w:cs="仿宋_GB2312"/>
          <w:b/>
          <w:bCs/>
          <w:kern w:val="2"/>
          <w:sz w:val="32"/>
          <w:szCs w:val="32"/>
          <w:lang w:val="en-US" w:eastAsia="zh-CN"/>
        </w:rPr>
      </w:pPr>
      <w:r>
        <w:rPr>
          <w:rFonts w:hint="eastAsia" w:ascii="仿宋_GB2312" w:hAnsi="仿宋_GB2312" w:eastAsia="仿宋_GB2312" w:cs="仿宋_GB2312"/>
          <w:b/>
          <w:bCs/>
          <w:kern w:val="2"/>
          <w:sz w:val="32"/>
          <w:szCs w:val="32"/>
          <w:lang w:val="en-US" w:eastAsia="zh-CN"/>
        </w:rPr>
        <w:t>地址：内蒙古呼伦贝尔牙克石市工业大街</w:t>
      </w:r>
    </w:p>
    <w:p w14:paraId="228032C9">
      <w:pPr>
        <w:keepNext w:val="0"/>
        <w:keepLines w:val="0"/>
        <w:pageBreakBefore w:val="0"/>
        <w:widowControl w:val="0"/>
        <w:kinsoku/>
        <w:wordWrap/>
        <w:overflowPunct/>
        <w:topLinePunct w:val="0"/>
        <w:autoSpaceDE/>
        <w:autoSpaceDN/>
        <w:bidi w:val="0"/>
        <w:spacing w:line="580" w:lineRule="exact"/>
        <w:jc w:val="both"/>
        <w:textAlignment w:val="auto"/>
        <w:rPr>
          <w:rFonts w:hint="eastAsia" w:ascii="仿宋_GB2312" w:hAnsi="仿宋_GB2312" w:eastAsia="仿宋_GB2312" w:cs="仿宋_GB2312"/>
          <w:b/>
          <w:bCs/>
          <w:kern w:val="2"/>
          <w:sz w:val="32"/>
          <w:szCs w:val="32"/>
          <w:lang w:val="en-US" w:eastAsia="zh-CN"/>
        </w:rPr>
      </w:pPr>
      <w:r>
        <w:rPr>
          <w:rFonts w:hint="eastAsia" w:ascii="仿宋_GB2312" w:hAnsi="仿宋_GB2312" w:eastAsia="仿宋_GB2312" w:cs="仿宋_GB2312"/>
          <w:b/>
          <w:bCs/>
          <w:kern w:val="2"/>
          <w:sz w:val="32"/>
          <w:szCs w:val="32"/>
          <w:lang w:val="en-US" w:eastAsia="zh-CN"/>
        </w:rPr>
        <w:t>法定代表人：胡玉峰</w:t>
      </w:r>
    </w:p>
    <w:p w14:paraId="1B747DEF">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12月2日，牙克石市生态环境综合行政执法大队执法人员张洪波（行政执法证号05030315040）、赵洪伟（行政执法证号05030315039）对呼伦贝北方药业有限公司进行现场执法检查中调取烟气在线监测数据时，发现该企业二电厂1号热电联产锅炉烟气在线自动监测设备2024年11月29日、30日、2024年12月1日</w:t>
      </w:r>
      <w:bookmarkStart w:id="0" w:name="_GoBack"/>
      <w:bookmarkEnd w:id="0"/>
      <w:r>
        <w:rPr>
          <w:rFonts w:hint="eastAsia" w:ascii="仿宋_GB2312" w:hAnsi="仿宋_GB2312" w:eastAsia="仿宋_GB2312" w:cs="仿宋_GB2312"/>
          <w:sz w:val="32"/>
          <w:szCs w:val="32"/>
          <w:lang w:val="en-US" w:eastAsia="zh-CN"/>
        </w:rPr>
        <w:t>颗粒物排放超过排放标准排放，呼伦贝尔北方药业有限公司，2024年11月29日颗粒物超标。颗粒物标准值：30㎎/m3，折算值45.64㎎/m3，超标倍数0.521334；2024年11月30日颗粒物超标。颗粒物标准值：30㎎/m3，折算值50.04㎎/m3，超标倍数0.834667；2024年12月1日颗粒物超标。颗粒物标准值：30㎎/m3，折算值36.17㎎/m3，超标倍数0.205667。</w:t>
      </w:r>
    </w:p>
    <w:p w14:paraId="52F7304D">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违反法律规定的行为：</w:t>
      </w:r>
    </w:p>
    <w:p w14:paraId="5C5D1F7C">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颗粒物排放超过国家大气排放标准</w:t>
      </w:r>
    </w:p>
    <w:p w14:paraId="48F11EB0">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以上事实有：</w:t>
      </w:r>
    </w:p>
    <w:p w14:paraId="73C416F4">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1、2024年12月02日12时01分至 12时31分对呼伦贝尔北方药业有限公司二电厂1号锅炉烟气在线自动监测设备开展现场检查（勘查）制作的现场检查（勘察）笔录（3页）；</w:t>
      </w:r>
    </w:p>
    <w:p w14:paraId="5489CE13">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2、2024年12月02日13时33分至14时03分对呼伦贝尔北方药业有限公司现场负责人孙小刚制作的调查询问笔录（3页）；</w:t>
      </w:r>
    </w:p>
    <w:p w14:paraId="18531F68">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3、2024年12月02日9时00分至 14时03分对呼伦贝尔北方药业有限公司二电厂1号锅炉烟气在线自动监测设备现场检查（勘察）过程，执法记录仪录制视频（光盘）；</w:t>
      </w:r>
    </w:p>
    <w:p w14:paraId="4E161887">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4、现场对烟气自动监测设备中颗粒物超标数据取证照片（一张）；</w:t>
      </w:r>
    </w:p>
    <w:p w14:paraId="27865DF2">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5、企业营业执照和法人身份证复印件（各一份）等证据为凭。</w:t>
      </w:r>
    </w:p>
    <w:p w14:paraId="19FBED41">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你单位的上述行为违反《中华人民共和国大气污染防治法》第十八条“企业事业单位和其他生产经营者建设对大气环境有影响的项目，应当依法进行环境影响评价、公开环境影响评价文件；向大气排放污染物的，应当符合大气污染物排放标准，遵守重点大气污染物排放总量控制要求。”的规定。</w:t>
      </w:r>
    </w:p>
    <w:p w14:paraId="6125D500">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我局于</w:t>
      </w:r>
      <w:r>
        <w:rPr>
          <w:rFonts w:hint="eastAsia" w:ascii="仿宋_GB2312" w:hAnsi="仿宋_GB2312" w:eastAsia="仿宋_GB2312" w:cs="仿宋_GB2312"/>
          <w:sz w:val="32"/>
          <w:szCs w:val="32"/>
          <w:lang w:val="en-US" w:eastAsia="zh-CN"/>
        </w:rPr>
        <w:t>2024年12月18日</w:t>
      </w:r>
      <w:r>
        <w:rPr>
          <w:rFonts w:hint="eastAsia" w:ascii="仿宋_GB2312" w:hAnsi="仿宋_GB2312" w:eastAsia="仿宋_GB2312" w:cs="仿宋_GB2312"/>
          <w:sz w:val="32"/>
          <w:szCs w:val="32"/>
        </w:rPr>
        <w:t>以《行政处罚事先告知书》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呼</w:t>
      </w:r>
      <w:r>
        <w:rPr>
          <w:rFonts w:hint="eastAsia" w:ascii="仿宋_GB2312" w:hAnsi="仿宋_GB2312" w:eastAsia="仿宋_GB2312" w:cs="仿宋_GB2312"/>
          <w:sz w:val="32"/>
          <w:szCs w:val="32"/>
        </w:rPr>
        <w:t>环罚告〔</w:t>
      </w: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030028</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告知你</w:t>
      </w:r>
      <w:r>
        <w:rPr>
          <w:rFonts w:hint="eastAsia" w:ascii="仿宋_GB2312" w:hAnsi="仿宋_GB2312" w:eastAsia="仿宋_GB2312" w:cs="仿宋_GB2312"/>
          <w:sz w:val="32"/>
          <w:szCs w:val="32"/>
          <w:lang w:val="en-US" w:eastAsia="zh-CN"/>
        </w:rPr>
        <w:t>公司享有</w:t>
      </w:r>
      <w:r>
        <w:rPr>
          <w:rFonts w:hint="eastAsia" w:ascii="仿宋_GB2312" w:hAnsi="仿宋_GB2312" w:eastAsia="仿宋_GB2312" w:cs="仿宋_GB2312"/>
          <w:sz w:val="32"/>
          <w:szCs w:val="32"/>
        </w:rPr>
        <w:t>陈述申辩权</w:t>
      </w:r>
      <w:r>
        <w:rPr>
          <w:rFonts w:hint="eastAsia" w:ascii="仿宋_GB2312" w:hAnsi="仿宋_GB2312" w:eastAsia="仿宋_GB2312" w:cs="仿宋_GB2312"/>
          <w:sz w:val="32"/>
          <w:szCs w:val="32"/>
          <w:lang w:val="en-US" w:eastAsia="zh-CN"/>
        </w:rPr>
        <w:t>和听证权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你公司在规定的时间内未提出陈述申辩和听证。</w:t>
      </w:r>
    </w:p>
    <w:p w14:paraId="4DA02B91">
      <w:pPr>
        <w:keepNext w:val="0"/>
        <w:keepLines w:val="0"/>
        <w:pageBreakBefore w:val="0"/>
        <w:widowControl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据《中华人民共和国大气污染防治法》第九十九条第二项“违反本法规定，有下列行为之一的，由县级以上人民政府生态环境主管部门责令改正或者限制生产、停产整治，并处十万元以上一百万元以下的罚款；情节严重的，报经有批准权的人民政府批准，责令停业、关闭：（二）超过大气污染物排放标准或者超过重点大气污染物排放总量控制指标排放大气污染物的”的规定予以处罚。</w:t>
      </w:r>
    </w:p>
    <w:p w14:paraId="42E276B0">
      <w:pPr>
        <w:keepNext w:val="0"/>
        <w:keepLines w:val="0"/>
        <w:pageBreakBefore w:val="0"/>
        <w:widowControl w:val="0"/>
        <w:kinsoku/>
        <w:wordWrap/>
        <w:overflowPunct/>
        <w:topLinePunct w:val="0"/>
        <w:autoSpaceDE/>
        <w:autoSpaceDN/>
        <w:bidi w:val="0"/>
        <w:spacing w:line="580" w:lineRule="exact"/>
        <w:ind w:firstLine="643" w:firstLineChars="20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color w:val="333333"/>
          <w:sz w:val="32"/>
          <w:szCs w:val="32"/>
        </w:rPr>
        <w:t>依据《</w:t>
      </w:r>
      <w:r>
        <w:rPr>
          <w:rFonts w:hint="eastAsia" w:ascii="仿宋_GB2312" w:hAnsi="仿宋_GB2312" w:eastAsia="仿宋_GB2312" w:cs="仿宋_GB2312"/>
          <w:b/>
          <w:bCs/>
          <w:spacing w:val="-6"/>
          <w:sz w:val="32"/>
          <w:szCs w:val="32"/>
        </w:rPr>
        <w:t>内蒙古自治区生态环境</w:t>
      </w:r>
      <w:r>
        <w:rPr>
          <w:rFonts w:hint="eastAsia" w:ascii="仿宋_GB2312" w:hAnsi="仿宋_GB2312" w:eastAsia="仿宋_GB2312" w:cs="仿宋_GB2312"/>
          <w:b/>
          <w:bCs/>
          <w:spacing w:val="-6"/>
          <w:sz w:val="32"/>
          <w:szCs w:val="32"/>
          <w:lang w:eastAsia="zh-CN"/>
        </w:rPr>
        <w:t>系统</w:t>
      </w:r>
      <w:r>
        <w:rPr>
          <w:rFonts w:hint="eastAsia" w:ascii="仿宋_GB2312" w:hAnsi="仿宋_GB2312" w:eastAsia="仿宋_GB2312" w:cs="仿宋_GB2312"/>
          <w:b/>
          <w:bCs/>
          <w:spacing w:val="-6"/>
          <w:sz w:val="32"/>
          <w:szCs w:val="32"/>
        </w:rPr>
        <w:t>行政处罚裁量基准规定（试行）</w:t>
      </w:r>
      <w:r>
        <w:rPr>
          <w:rFonts w:hint="eastAsia" w:ascii="仿宋_GB2312" w:hAnsi="仿宋_GB2312" w:eastAsia="仿宋_GB2312" w:cs="仿宋_GB2312"/>
          <w:b/>
          <w:bCs/>
          <w:color w:val="333333"/>
          <w:sz w:val="32"/>
          <w:szCs w:val="32"/>
        </w:rPr>
        <w:t>》裁量</w:t>
      </w:r>
      <w:r>
        <w:rPr>
          <w:rFonts w:hint="eastAsia" w:ascii="仿宋_GB2312" w:hAnsi="仿宋_GB2312" w:eastAsia="仿宋_GB2312" w:cs="仿宋_GB2312"/>
          <w:color w:val="333333"/>
          <w:sz w:val="32"/>
          <w:szCs w:val="32"/>
        </w:rPr>
        <w:t>如下：</w:t>
      </w:r>
    </w:p>
    <w:p w14:paraId="175F5891">
      <w:pPr>
        <w:keepNext w:val="0"/>
        <w:keepLines w:val="0"/>
        <w:pageBreakBefore w:val="0"/>
        <w:widowControl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超标、超总量排放污染物的：</w:t>
      </w:r>
    </w:p>
    <w:p w14:paraId="2EE2E06C">
      <w:pPr>
        <w:keepNext w:val="0"/>
        <w:keepLines w:val="0"/>
        <w:pageBreakBefore w:val="0"/>
        <w:widowControl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 xml:space="preserve">使用自动监测数据的：10 万+1 万×一般污染物累计超标倍数+2 万×有毒有害 污染物累计超标倍数=罚款金额。 </w:t>
      </w:r>
    </w:p>
    <w:p w14:paraId="1C7A575E">
      <w:pPr>
        <w:keepNext w:val="0"/>
        <w:keepLines w:val="0"/>
        <w:pageBreakBefore w:val="0"/>
        <w:widowControl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累计超标倍数=自动监测日均值超标倍数的累加。罚金最高不超过 100 万元。</w:t>
      </w:r>
    </w:p>
    <w:p w14:paraId="0D965688">
      <w:pPr>
        <w:keepNext w:val="0"/>
        <w:keepLines w:val="0"/>
        <w:pageBreakBefore w:val="0"/>
        <w:widowControl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 xml:space="preserve">呼伦贝尔北方药业有限公司颗粒物超标排放处罚金应为：10 万+1 万×超标倍数1.561668=11.561668万元（超标倍数累加：0.521334+0.834667+0.205667=1.561668倍）。          </w:t>
      </w:r>
    </w:p>
    <w:p w14:paraId="42E20D4F">
      <w:pPr>
        <w:keepNext w:val="0"/>
        <w:keepLines w:val="0"/>
        <w:pageBreakBefore w:val="0"/>
        <w:widowControl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你公司积极配合调查，经我局案件审议领导小组讨论后决定对你公司处以如下行政处罚：</w:t>
      </w:r>
    </w:p>
    <w:p w14:paraId="15B1CEC8">
      <w:pPr>
        <w:keepNext w:val="0"/>
        <w:keepLines w:val="0"/>
        <w:pageBreakBefore w:val="0"/>
        <w:widowControl w:val="0"/>
        <w:kinsoku/>
        <w:wordWrap/>
        <w:overflowPunct/>
        <w:topLinePunct w:val="0"/>
        <w:autoSpaceDE/>
        <w:autoSpaceDN/>
        <w:bidi w:val="0"/>
        <w:spacing w:line="580" w:lineRule="exact"/>
        <w:ind w:firstLine="588" w:firstLineChars="200"/>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w w:val="92"/>
          <w:sz w:val="32"/>
          <w:szCs w:val="32"/>
          <w:lang w:val="en-US" w:eastAsia="zh-CN"/>
        </w:rPr>
        <w:t>罚款壹拾壹万伍仟陆佰壹拾陆元陆角捌分（115616.68）整。</w:t>
      </w:r>
    </w:p>
    <w:p w14:paraId="3847D5F7">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234D1725">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你单位如不服本处罚决定，可在收到本处罚决定书之日起</w:t>
      </w:r>
      <w:r>
        <w:rPr>
          <w:rFonts w:hint="eastAsia" w:ascii="仿宋_GB2312" w:hAnsi="仿宋_GB2312" w:eastAsia="仿宋_GB2312" w:cs="仿宋_GB2312"/>
          <w:sz w:val="32"/>
          <w:szCs w:val="32"/>
          <w:u w:val="none"/>
          <w:lang w:val="en-US" w:eastAsia="zh-CN"/>
        </w:rPr>
        <w:t>六十</w:t>
      </w:r>
      <w:r>
        <w:rPr>
          <w:rFonts w:hint="eastAsia" w:ascii="仿宋_GB2312" w:hAnsi="仿宋_GB2312" w:eastAsia="仿宋_GB2312" w:cs="仿宋_GB2312"/>
          <w:sz w:val="32"/>
          <w:szCs w:val="32"/>
          <w:u w:val="none"/>
        </w:rPr>
        <w:t>日内向呼伦贝尔市人民政府申请行政复议，也可以在</w:t>
      </w:r>
      <w:r>
        <w:rPr>
          <w:rFonts w:hint="eastAsia" w:ascii="仿宋_GB2312" w:hAnsi="仿宋_GB2312" w:eastAsia="仿宋_GB2312" w:cs="仿宋_GB2312"/>
          <w:sz w:val="32"/>
          <w:szCs w:val="32"/>
          <w:u w:val="none"/>
          <w:lang w:val="en-US" w:eastAsia="zh-CN"/>
        </w:rPr>
        <w:t>六</w:t>
      </w:r>
      <w:r>
        <w:rPr>
          <w:rFonts w:hint="eastAsia" w:ascii="仿宋_GB2312" w:hAnsi="仿宋_GB2312" w:eastAsia="仿宋_GB2312" w:cs="仿宋_GB2312"/>
          <w:sz w:val="32"/>
          <w:szCs w:val="32"/>
          <w:u w:val="none"/>
        </w:rPr>
        <w:t>个月内向</w:t>
      </w:r>
      <w:r>
        <w:rPr>
          <w:rFonts w:hint="eastAsia" w:ascii="仿宋_GB2312" w:hAnsi="仿宋_GB2312" w:eastAsia="仿宋_GB2312" w:cs="仿宋_GB2312"/>
          <w:sz w:val="32"/>
          <w:szCs w:val="32"/>
          <w:u w:val="none"/>
          <w:lang w:val="en-US" w:eastAsia="zh-CN"/>
        </w:rPr>
        <w:t>海拉尔铁路运输</w:t>
      </w:r>
      <w:r>
        <w:rPr>
          <w:rFonts w:hint="eastAsia" w:ascii="仿宋_GB2312" w:hAnsi="仿宋_GB2312" w:eastAsia="仿宋_GB2312" w:cs="仿宋_GB2312"/>
          <w:sz w:val="32"/>
          <w:szCs w:val="32"/>
          <w:u w:val="none"/>
        </w:rPr>
        <w:t>法院提起行政诉讼。申请行政复议或者提起行政诉讼，不停止行政处罚决定的执行。</w:t>
      </w:r>
    </w:p>
    <w:p w14:paraId="5D619256">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逾期不申请行政复议，不提起行政诉讼，又不履行本处罚决定的，我局将依法申请人民法院强制执行。</w:t>
      </w:r>
    </w:p>
    <w:p w14:paraId="0B6FE382">
      <w:pPr>
        <w:pStyle w:val="2"/>
        <w:keepNext w:val="0"/>
        <w:keepLines w:val="0"/>
        <w:pageBreakBefore w:val="0"/>
        <w:wordWrap/>
        <w:overflowPunct/>
        <w:bidi w:val="0"/>
        <w:snapToGrid w:val="0"/>
        <w:spacing w:line="580" w:lineRule="exact"/>
      </w:pPr>
    </w:p>
    <w:p w14:paraId="6912D596">
      <w:pPr>
        <w:pStyle w:val="2"/>
        <w:keepNext w:val="0"/>
        <w:keepLines w:val="0"/>
        <w:pageBreakBefore w:val="0"/>
        <w:wordWrap/>
        <w:overflowPunct/>
        <w:bidi w:val="0"/>
        <w:snapToGrid w:val="0"/>
        <w:spacing w:line="580" w:lineRule="exact"/>
      </w:pPr>
    </w:p>
    <w:p w14:paraId="29300300">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58EC8C78">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呼伦贝</w:t>
      </w:r>
      <w:r>
        <w:rPr>
          <w:rFonts w:hint="eastAsia" w:ascii="仿宋_GB2312" w:hAnsi="仿宋_GB2312" w:eastAsia="仿宋_GB2312" w:cs="仿宋_GB2312"/>
          <w:sz w:val="32"/>
          <w:szCs w:val="32"/>
          <w:lang w:eastAsia="zh-CN"/>
        </w:rPr>
        <w:t>尔</w:t>
      </w:r>
      <w:r>
        <w:rPr>
          <w:rFonts w:hint="eastAsia" w:ascii="仿宋_GB2312" w:hAnsi="仿宋_GB2312" w:eastAsia="仿宋_GB2312" w:cs="仿宋_GB2312"/>
          <w:sz w:val="32"/>
          <w:szCs w:val="32"/>
        </w:rPr>
        <w:t xml:space="preserve">市生态环境局        </w:t>
      </w:r>
    </w:p>
    <w:p w14:paraId="4A569AAE">
      <w:pPr>
        <w:keepNext w:val="0"/>
        <w:keepLines w:val="0"/>
        <w:pageBreakBefore w:val="0"/>
        <w:widowControl/>
        <w:kinsoku/>
        <w:wordWrap/>
        <w:overflowPunct/>
        <w:topLinePunct/>
        <w:autoSpaceDE/>
        <w:autoSpaceDN w:val="0"/>
        <w:bidi w:val="0"/>
        <w:adjustRightInd w:val="0"/>
        <w:snapToGrid w:val="0"/>
        <w:spacing w:line="580" w:lineRule="exact"/>
        <w:ind w:firstLine="5440" w:firstLineChars="1700"/>
        <w:textAlignment w:val="baseline"/>
        <w:rPr>
          <w:rFonts w:hint="default"/>
          <w:lang w:val="en-US"/>
        </w:rPr>
      </w:pP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27日</w:t>
      </w:r>
    </w:p>
    <w:p w14:paraId="5DC2BF9D">
      <w:pPr>
        <w:keepNext w:val="0"/>
        <w:keepLines w:val="0"/>
        <w:pageBreakBefore w:val="0"/>
        <w:wordWrap/>
        <w:overflowPunct/>
        <w:bidi w:val="0"/>
        <w:snapToGrid w:val="0"/>
        <w:spacing w:line="580" w:lineRule="exact"/>
      </w:pPr>
    </w:p>
    <w:p w14:paraId="0E2A5608">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hint="eastAsia" w:ascii="仿宋_GB2312" w:hAnsi="仿宋_GB2312" w:eastAsia="仿宋_GB2312" w:cs="仿宋_GB2312"/>
          <w:sz w:val="32"/>
          <w:szCs w:val="32"/>
          <w:lang w:eastAsia="zh-CN"/>
        </w:rPr>
      </w:pPr>
    </w:p>
    <w:p w14:paraId="622AA5BA">
      <w:pPr>
        <w:keepNext w:val="0"/>
        <w:keepLines w:val="0"/>
        <w:pageBreakBefore w:val="0"/>
        <w:kinsoku/>
        <w:wordWrap/>
        <w:overflowPunct/>
        <w:topLinePunct w:val="0"/>
        <w:autoSpaceDE/>
        <w:autoSpaceDN/>
        <w:bidi w:val="0"/>
        <w:spacing w:line="580" w:lineRule="exact"/>
        <w:ind w:firstLine="640" w:firstLineChars="200"/>
        <w:jc w:val="left"/>
        <w:textAlignment w:val="auto"/>
        <w:rPr>
          <w:rFonts w:hint="eastAsia" w:ascii="仿宋" w:hAnsi="仿宋" w:eastAsia="仿宋" w:cs="仿宋"/>
          <w:b w:val="0"/>
          <w:color w:val="000000" w:themeColor="text1"/>
          <w:kern w:val="2"/>
          <w:sz w:val="32"/>
          <w:szCs w:val="32"/>
          <w:lang w:val="en-US" w:eastAsia="zh-CN"/>
          <w14:textFill>
            <w14:solidFill>
              <w14:schemeClr w14:val="tx1"/>
            </w14:solidFill>
          </w14:textFill>
        </w:rPr>
      </w:pPr>
    </w:p>
    <w:p w14:paraId="3336B45B"/>
    <w:p w14:paraId="17284953"/>
    <w:p w14:paraId="400DDCB1"/>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5FB6E">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E63896">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E63896">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hYWM5ZDE0OGVhYjFlNGVlM2MwNzkzZjdkZTdlZDQifQ=="/>
  </w:docVars>
  <w:rsids>
    <w:rsidRoot w:val="00C84C30"/>
    <w:rsid w:val="00C84C30"/>
    <w:rsid w:val="132760A0"/>
    <w:rsid w:val="2E3C5A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customStyle="1" w:styleId="6">
    <w:name w:val="Plain Text"/>
    <w:basedOn w:val="1"/>
    <w:autoRedefine/>
    <w:qFormat/>
    <w:uiPriority w:val="0"/>
    <w:rPr>
      <w:rFonts w:ascii="宋体" w:hAnsi="Courier New"/>
      <w:kern w:val="2"/>
      <w:sz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1488</Words>
  <Characters>1715</Characters>
  <Lines>0</Lines>
  <Paragraphs>0</Paragraphs>
  <TotalTime>0</TotalTime>
  <ScaleCrop>false</ScaleCrop>
  <LinksUpToDate>false</LinksUpToDate>
  <CharactersWithSpaces>1744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2024-12-27T01:35:00Z</dcterms:created>
  <dc:creator>a1 nits</dc:creator>
  <cp:lastModifiedBy>a1 nits</cp:lastModifiedBy>
  <dcterms:modified xsi:type="dcterms:W3CDTF">2025-01-24T01:22:03Z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8A165E0B6A4C45EF98D5ED0FC35D4AFE_11</vt:lpwstr>
  </property>
  <property fmtid="{D5CDD505-2E9C-101B-9397-08002B2CF9AE}" pid="4" name="KSOTemplateDocerSaveRecord">
    <vt:lpwstr>eyJoZGlkIjoiMTJhYWM5ZDE0OGVhYjFlNGVlM2MwNzkzZjdkZTdlZDQiLCJ1c2VySWQiOiI4MDUxNzE3MDgifQ==</vt:lpwstr>
  </property>
</Properties>
</file>