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353BA3">
      <w:pPr>
        <w:pStyle w:val="6"/>
        <w:keepNext w:val="0"/>
        <w:keepLines w:val="0"/>
        <w:pageBreakBefore w:val="0"/>
        <w:widowControl/>
        <w:kinsoku w:val="0"/>
        <w:wordWrap/>
        <w:overflowPunct/>
        <w:topLinePunct w:val="0"/>
        <w:autoSpaceDE w:val="0"/>
        <w:autoSpaceDN w:val="0"/>
        <w:bidi w:val="0"/>
        <w:adjustRightInd w:val="0"/>
        <w:snapToGrid w:val="0"/>
        <w:spacing w:line="800" w:lineRule="exact"/>
        <w:jc w:val="center"/>
        <w:textAlignment w:val="baseline"/>
        <w:rPr>
          <w:rFonts w:hint="eastAsia" w:ascii="方正小标宋简体" w:hAnsi="方正小标宋简体" w:eastAsia="方正小标宋简体" w:cs="方正小标宋简体"/>
          <w:b w:val="0"/>
          <w:bCs/>
          <w:sz w:val="44"/>
          <w:szCs w:val="44"/>
        </w:rPr>
      </w:pPr>
      <w:r>
        <w:rPr>
          <w:rFonts w:hint="eastAsia" w:ascii="方正小标宋简体" w:hAnsi="方正小标宋简体" w:eastAsia="方正小标宋简体" w:cs="方正小标宋简体"/>
          <w:b w:val="0"/>
          <w:bCs/>
          <w:sz w:val="44"/>
          <w:szCs w:val="44"/>
        </w:rPr>
        <w:t>呼伦贝尔市生态环境局</w:t>
      </w:r>
    </w:p>
    <w:p w14:paraId="34F34F8E">
      <w:pPr>
        <w:keepNext w:val="0"/>
        <w:keepLines w:val="0"/>
        <w:pageBreakBefore w:val="0"/>
        <w:widowControl/>
        <w:kinsoku w:val="0"/>
        <w:wordWrap/>
        <w:overflowPunct/>
        <w:topLinePunct w:val="0"/>
        <w:autoSpaceDE w:val="0"/>
        <w:autoSpaceDN w:val="0"/>
        <w:bidi w:val="0"/>
        <w:adjustRightInd w:val="0"/>
        <w:snapToGrid w:val="0"/>
        <w:spacing w:line="800" w:lineRule="exact"/>
        <w:jc w:val="center"/>
        <w:textAlignment w:val="baseline"/>
        <w:rPr>
          <w:rFonts w:hint="eastAsia" w:ascii="方正小标宋简体" w:hAnsi="方正小标宋简体" w:eastAsia="方正小标宋简体" w:cs="方正小标宋简体"/>
          <w:b w:val="0"/>
          <w:bCs/>
          <w:sz w:val="44"/>
          <w:szCs w:val="44"/>
        </w:rPr>
      </w:pPr>
      <w:r>
        <w:rPr>
          <w:rFonts w:hint="eastAsia" w:ascii="方正小标宋简体" w:hAnsi="方正小标宋简体" w:eastAsia="方正小标宋简体" w:cs="方正小标宋简体"/>
          <w:b w:val="0"/>
          <w:bCs/>
          <w:sz w:val="44"/>
          <w:szCs w:val="44"/>
        </w:rPr>
        <w:t>行政处罚决定书</w:t>
      </w:r>
    </w:p>
    <w:p w14:paraId="22D57B3B">
      <w:pPr>
        <w:jc w:val="center"/>
        <w:rPr>
          <w:rFonts w:hint="eastAsia" w:ascii="仿宋_GB2312" w:hAnsi="仿宋_GB2312" w:eastAsia="仿宋_GB2312" w:cs="仿宋_GB2312"/>
          <w:b/>
          <w:bCs/>
          <w:sz w:val="32"/>
          <w:szCs w:val="32"/>
          <w:lang w:val="en-US" w:eastAsia="zh-CN"/>
        </w:rPr>
      </w:pPr>
    </w:p>
    <w:p w14:paraId="56D4F5DB">
      <w:pPr>
        <w:keepNext w:val="0"/>
        <w:keepLines w:val="0"/>
        <w:pageBreakBefore w:val="0"/>
        <w:wordWrap/>
        <w:overflowPunct/>
        <w:topLinePunct w:val="0"/>
        <w:bidi w:val="0"/>
        <w:adjustRightInd w:val="0"/>
        <w:snapToGrid w:val="0"/>
        <w:spacing w:line="760" w:lineRule="exact"/>
        <w:jc w:val="center"/>
        <w:rPr>
          <w:rFonts w:hint="eastAsia" w:ascii="仿宋_GB2312" w:hAnsi="仿宋_GB2312" w:eastAsia="仿宋_GB2312" w:cs="仿宋_GB2312"/>
          <w:b/>
          <w:bCs/>
          <w:sz w:val="32"/>
          <w:szCs w:val="32"/>
          <w:lang w:val="en-US" w:eastAsia="zh-CN"/>
        </w:rPr>
      </w:pPr>
      <w:bookmarkStart w:id="0" w:name="_GoBack"/>
      <w:r>
        <w:rPr>
          <w:rFonts w:hint="eastAsia" w:ascii="仿宋_GB2312" w:hAnsi="仿宋_GB2312" w:eastAsia="仿宋_GB2312" w:cs="仿宋_GB2312"/>
          <w:b/>
          <w:bCs/>
          <w:sz w:val="32"/>
          <w:szCs w:val="32"/>
          <w:lang w:val="en-US" w:eastAsia="zh-CN"/>
        </w:rPr>
        <w:t>呼</w:t>
      </w:r>
      <w:r>
        <w:rPr>
          <w:rFonts w:hint="eastAsia" w:ascii="仿宋_GB2312" w:hAnsi="仿宋_GB2312" w:eastAsia="仿宋_GB2312" w:cs="仿宋_GB2312"/>
          <w:b/>
          <w:bCs/>
          <w:sz w:val="32"/>
          <w:szCs w:val="32"/>
        </w:rPr>
        <w:t>环罚〔</w:t>
      </w:r>
      <w:r>
        <w:rPr>
          <w:rFonts w:hint="eastAsia" w:ascii="仿宋_GB2312" w:hAnsi="仿宋_GB2312" w:eastAsia="仿宋_GB2312" w:cs="仿宋_GB2312"/>
          <w:b/>
          <w:bCs/>
          <w:sz w:val="32"/>
          <w:szCs w:val="32"/>
          <w:lang w:val="en-US" w:eastAsia="zh-CN"/>
        </w:rPr>
        <w:t>2024</w:t>
      </w:r>
      <w:r>
        <w:rPr>
          <w:rFonts w:hint="eastAsia" w:ascii="仿宋_GB2312" w:hAnsi="仿宋_GB2312" w:eastAsia="仿宋_GB2312" w:cs="仿宋_GB2312"/>
          <w:b/>
          <w:bCs/>
          <w:sz w:val="32"/>
          <w:szCs w:val="32"/>
        </w:rPr>
        <w:t>〕</w:t>
      </w:r>
      <w:r>
        <w:rPr>
          <w:rFonts w:hint="eastAsia" w:ascii="仿宋_GB2312" w:hAnsi="仿宋_GB2312" w:eastAsia="仿宋_GB2312" w:cs="仿宋_GB2312"/>
          <w:b/>
          <w:bCs/>
          <w:sz w:val="32"/>
          <w:szCs w:val="32"/>
          <w:lang w:val="en-US" w:eastAsia="zh-CN"/>
        </w:rPr>
        <w:t>030027号</w:t>
      </w:r>
      <w:bookmarkEnd w:id="0"/>
    </w:p>
    <w:p w14:paraId="49B504F6">
      <w:pPr>
        <w:keepNext w:val="0"/>
        <w:keepLines w:val="0"/>
        <w:pageBreakBefore w:val="0"/>
        <w:widowControl w:val="0"/>
        <w:kinsoku/>
        <w:wordWrap/>
        <w:overflowPunct/>
        <w:topLinePunct w:val="0"/>
        <w:autoSpaceDE/>
        <w:autoSpaceDN/>
        <w:bidi w:val="0"/>
        <w:adjustRightInd w:val="0"/>
        <w:snapToGrid w:val="0"/>
        <w:spacing w:line="760" w:lineRule="exact"/>
        <w:jc w:val="both"/>
        <w:textAlignment w:val="auto"/>
        <w:rPr>
          <w:rFonts w:hint="eastAsia" w:ascii="仿宋_GB2312" w:hAnsi="仿宋_GB2312" w:eastAsia="仿宋_GB2312" w:cs="仿宋_GB2312"/>
          <w:b/>
          <w:bCs/>
          <w:kern w:val="2"/>
          <w:sz w:val="32"/>
          <w:szCs w:val="32"/>
          <w:lang w:val="en-US" w:eastAsia="zh-CN"/>
        </w:rPr>
      </w:pPr>
      <w:r>
        <w:rPr>
          <w:rFonts w:hint="eastAsia" w:ascii="仿宋_GB2312" w:hAnsi="仿宋_GB2312" w:eastAsia="仿宋_GB2312" w:cs="仿宋_GB2312"/>
          <w:b/>
          <w:bCs/>
          <w:kern w:val="2"/>
          <w:sz w:val="32"/>
          <w:szCs w:val="32"/>
          <w:lang w:val="en-US" w:eastAsia="zh-CN"/>
        </w:rPr>
        <w:t>当事人：呼伦贝尔北方药业有限公司</w:t>
      </w:r>
    </w:p>
    <w:p w14:paraId="775CEDF8">
      <w:pPr>
        <w:keepNext w:val="0"/>
        <w:keepLines w:val="0"/>
        <w:pageBreakBefore w:val="0"/>
        <w:widowControl w:val="0"/>
        <w:kinsoku/>
        <w:wordWrap/>
        <w:overflowPunct/>
        <w:topLinePunct w:val="0"/>
        <w:autoSpaceDE/>
        <w:autoSpaceDN/>
        <w:bidi w:val="0"/>
        <w:spacing w:line="580" w:lineRule="exact"/>
        <w:jc w:val="both"/>
        <w:textAlignment w:val="auto"/>
        <w:rPr>
          <w:rFonts w:hint="eastAsia" w:ascii="仿宋_GB2312" w:hAnsi="仿宋_GB2312" w:eastAsia="仿宋_GB2312" w:cs="仿宋_GB2312"/>
          <w:b/>
          <w:bCs/>
          <w:kern w:val="2"/>
          <w:sz w:val="32"/>
          <w:szCs w:val="32"/>
          <w:lang w:val="en-US" w:eastAsia="zh-CN"/>
        </w:rPr>
      </w:pPr>
      <w:r>
        <w:rPr>
          <w:rFonts w:hint="eastAsia" w:ascii="仿宋_GB2312" w:hAnsi="仿宋_GB2312" w:eastAsia="仿宋_GB2312" w:cs="仿宋_GB2312"/>
          <w:b/>
          <w:bCs/>
          <w:kern w:val="2"/>
          <w:sz w:val="32"/>
          <w:szCs w:val="32"/>
          <w:lang w:val="en-US" w:eastAsia="zh-CN"/>
        </w:rPr>
        <w:t>社会信用代码：91150782686543623L</w:t>
      </w:r>
    </w:p>
    <w:p w14:paraId="7E8E859E">
      <w:pPr>
        <w:keepNext w:val="0"/>
        <w:keepLines w:val="0"/>
        <w:pageBreakBefore w:val="0"/>
        <w:widowControl w:val="0"/>
        <w:kinsoku/>
        <w:wordWrap/>
        <w:overflowPunct/>
        <w:topLinePunct w:val="0"/>
        <w:autoSpaceDE/>
        <w:autoSpaceDN/>
        <w:bidi w:val="0"/>
        <w:spacing w:line="580" w:lineRule="exact"/>
        <w:jc w:val="both"/>
        <w:textAlignment w:val="auto"/>
        <w:rPr>
          <w:rFonts w:hint="eastAsia" w:ascii="仿宋_GB2312" w:hAnsi="仿宋_GB2312" w:eastAsia="仿宋_GB2312" w:cs="仿宋_GB2312"/>
          <w:b/>
          <w:bCs/>
          <w:kern w:val="2"/>
          <w:sz w:val="32"/>
          <w:szCs w:val="32"/>
          <w:lang w:val="en-US" w:eastAsia="zh-CN"/>
        </w:rPr>
      </w:pPr>
      <w:r>
        <w:rPr>
          <w:rFonts w:hint="eastAsia" w:ascii="仿宋_GB2312" w:hAnsi="仿宋_GB2312" w:eastAsia="仿宋_GB2312" w:cs="仿宋_GB2312"/>
          <w:b/>
          <w:bCs/>
          <w:kern w:val="2"/>
          <w:sz w:val="32"/>
          <w:szCs w:val="32"/>
          <w:lang w:val="en-US" w:eastAsia="zh-CN"/>
        </w:rPr>
        <w:t>地址：内蒙古呼伦贝尔牙克石市工业大街</w:t>
      </w:r>
    </w:p>
    <w:p w14:paraId="228032C9">
      <w:pPr>
        <w:keepNext w:val="0"/>
        <w:keepLines w:val="0"/>
        <w:pageBreakBefore w:val="0"/>
        <w:widowControl w:val="0"/>
        <w:kinsoku/>
        <w:wordWrap/>
        <w:overflowPunct/>
        <w:topLinePunct w:val="0"/>
        <w:autoSpaceDE/>
        <w:autoSpaceDN/>
        <w:bidi w:val="0"/>
        <w:spacing w:line="580" w:lineRule="exact"/>
        <w:jc w:val="both"/>
        <w:textAlignment w:val="auto"/>
        <w:rPr>
          <w:rFonts w:hint="eastAsia" w:ascii="仿宋_GB2312" w:hAnsi="仿宋_GB2312" w:eastAsia="仿宋_GB2312" w:cs="仿宋_GB2312"/>
          <w:b/>
          <w:bCs/>
          <w:kern w:val="2"/>
          <w:sz w:val="32"/>
          <w:szCs w:val="32"/>
          <w:lang w:val="en-US" w:eastAsia="zh-CN"/>
        </w:rPr>
      </w:pPr>
      <w:r>
        <w:rPr>
          <w:rFonts w:hint="eastAsia" w:ascii="仿宋_GB2312" w:hAnsi="仿宋_GB2312" w:eastAsia="仿宋_GB2312" w:cs="仿宋_GB2312"/>
          <w:b/>
          <w:bCs/>
          <w:kern w:val="2"/>
          <w:sz w:val="32"/>
          <w:szCs w:val="32"/>
          <w:lang w:val="en-US" w:eastAsia="zh-CN"/>
        </w:rPr>
        <w:t>法定代表人：胡玉峰</w:t>
      </w:r>
    </w:p>
    <w:p w14:paraId="415431D5">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2024年12月2日，牙克石市生态环境综合行政执法大队执法人员张洪波（行政执法证号05030315040）、赵洪伟（行政执法证号05030315039），依据重点污染源严重超标电子督办单（编号202412110072号）开展执法检查工作，经调取该公司二电厂1号锅炉烟气在线数据确认，2024年11月30日，二氧化硫数据排放浓度为138.069mg/m3，排放标准值100 mg/m3，超过排放标准0.3807倍，2024年12月1日，二氧化硫排放监测值131.057 mg/m3，排放标准值为100 mg/m3，超过排放标准限值0.31057倍；2024年12月2日，二氧化硫排放监测值140.007316 mg/m3，排放标准值为100 mg/m3，超过排放标准0.400074倍；2024年12月3日，二氧化硫排放监测值154.491 mg/m3，排放标准值100 mg/m3，超过排放标准0.54491倍；2024年12月4日二氧化硫排放监测123.013 mg/m3，排放标准值100 mg/m3，超过排放标准0.23013倍；2024年12月5日，二氧化硫排放监测值145.04 mg/m3，排放标准值100 mg/m3，超过排放标准0.4504倍；</w:t>
      </w:r>
    </w:p>
    <w:p w14:paraId="774CF81E">
      <w:pPr>
        <w:keepNext w:val="0"/>
        <w:keepLines w:val="0"/>
        <w:pageBreakBefore w:val="0"/>
        <w:widowControl w:val="0"/>
        <w:kinsoku/>
        <w:wordWrap/>
        <w:overflowPunct/>
        <w:topLinePunct w:val="0"/>
        <w:autoSpaceDE/>
        <w:autoSpaceDN/>
        <w:bidi w:val="0"/>
        <w:adjustRightInd/>
        <w:snapToGrid/>
        <w:spacing w:line="580" w:lineRule="exact"/>
        <w:ind w:firstLine="643" w:firstLineChars="20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违反法律规定的行为：</w:t>
      </w:r>
    </w:p>
    <w:p w14:paraId="2C503831">
      <w:pPr>
        <w:keepNext w:val="0"/>
        <w:keepLines w:val="0"/>
        <w:pageBreakBefore w:val="0"/>
        <w:widowControl w:val="0"/>
        <w:kinsoku/>
        <w:wordWrap/>
        <w:overflowPunct/>
        <w:topLinePunct w:val="0"/>
        <w:autoSpaceDE/>
        <w:autoSpaceDN/>
        <w:bidi w:val="0"/>
        <w:adjustRightInd/>
        <w:snapToGrid/>
        <w:spacing w:line="580" w:lineRule="exact"/>
        <w:ind w:firstLine="643" w:firstLineChars="20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二氧化硫排放超过国家大气排放标准</w:t>
      </w:r>
    </w:p>
    <w:p w14:paraId="48F11EB0">
      <w:pPr>
        <w:keepNext w:val="0"/>
        <w:keepLines w:val="0"/>
        <w:pageBreakBefore w:val="0"/>
        <w:widowControl w:val="0"/>
        <w:kinsoku/>
        <w:wordWrap/>
        <w:overflowPunct/>
        <w:topLinePunct w:val="0"/>
        <w:autoSpaceDE/>
        <w:autoSpaceDN/>
        <w:bidi w:val="0"/>
        <w:spacing w:line="58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以上事实有：</w:t>
      </w:r>
    </w:p>
    <w:p w14:paraId="1D520077">
      <w:pPr>
        <w:keepNext w:val="0"/>
        <w:keepLines w:val="0"/>
        <w:pageBreakBefore w:val="0"/>
        <w:widowControl w:val="0"/>
        <w:kinsoku/>
        <w:wordWrap/>
        <w:overflowPunct/>
        <w:topLinePunct w:val="0"/>
        <w:autoSpaceDE/>
        <w:autoSpaceDN/>
        <w:bidi w:val="0"/>
        <w:spacing w:line="58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1、重点污染源严重超标电子督办单 编号202412110072（用于证明呼伦贝2尔北方药业有限公司二氧化硫、颗粒物超标排放）2页。</w:t>
      </w:r>
    </w:p>
    <w:p w14:paraId="7E7A3234">
      <w:pPr>
        <w:keepNext w:val="0"/>
        <w:keepLines w:val="0"/>
        <w:pageBreakBefore w:val="0"/>
        <w:widowControl w:val="0"/>
        <w:kinsoku/>
        <w:wordWrap/>
        <w:overflowPunct/>
        <w:topLinePunct w:val="0"/>
        <w:autoSpaceDE/>
        <w:autoSpaceDN/>
        <w:bidi w:val="0"/>
        <w:spacing w:line="58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2、调取呼伦贝尔北方药业有限公司烟气在线监测设备2024年11月30日到5日在线日数据一页（用于证明呼伦贝尔北方药业有限公司超标排放污染物属实）。</w:t>
      </w:r>
    </w:p>
    <w:p w14:paraId="0E28047A">
      <w:pPr>
        <w:keepNext w:val="0"/>
        <w:keepLines w:val="0"/>
        <w:pageBreakBefore w:val="0"/>
        <w:widowControl w:val="0"/>
        <w:kinsoku/>
        <w:wordWrap/>
        <w:overflowPunct/>
        <w:topLinePunct w:val="0"/>
        <w:autoSpaceDE/>
        <w:autoSpaceDN/>
        <w:bidi w:val="0"/>
        <w:spacing w:line="58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3、调取呼伦贝尔北方药业有限公司CEMS运维记录3页和烟气在线中颗粒物3日、9日在线信息4页（用于证明呼伦贝尔北方药业有限公司因CEMS故障导致颗粒物超标事实，并完成标定工作）。</w:t>
      </w:r>
    </w:p>
    <w:p w14:paraId="26B856A4">
      <w:pPr>
        <w:keepNext w:val="0"/>
        <w:keepLines w:val="0"/>
        <w:pageBreakBefore w:val="0"/>
        <w:widowControl w:val="0"/>
        <w:kinsoku/>
        <w:wordWrap/>
        <w:overflowPunct/>
        <w:topLinePunct w:val="0"/>
        <w:autoSpaceDE/>
        <w:autoSpaceDN/>
        <w:bidi w:val="0"/>
        <w:spacing w:line="58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4、2024年12月12日11时24分至 11时54分对呼伦贝尔北方药业有限公司二电厂1号锅炉烟气在线自动监测设备开展现场检查（勘查）制作的现场检查（勘察）笔录（3页）；</w:t>
      </w:r>
    </w:p>
    <w:p w14:paraId="315EBFBA">
      <w:pPr>
        <w:keepNext w:val="0"/>
        <w:keepLines w:val="0"/>
        <w:pageBreakBefore w:val="0"/>
        <w:widowControl w:val="0"/>
        <w:kinsoku/>
        <w:wordWrap/>
        <w:overflowPunct/>
        <w:topLinePunct w:val="0"/>
        <w:autoSpaceDE/>
        <w:autoSpaceDN/>
        <w:bidi w:val="0"/>
        <w:spacing w:line="58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5、2024年12月12日11时45分至12时15分对呼伦贝尔北方药业有限公司现场负责人孙小刚制作的调查询问笔录（4页）；</w:t>
      </w:r>
    </w:p>
    <w:p w14:paraId="1B120034">
      <w:pPr>
        <w:keepNext w:val="0"/>
        <w:keepLines w:val="0"/>
        <w:pageBreakBefore w:val="0"/>
        <w:widowControl w:val="0"/>
        <w:kinsoku/>
        <w:wordWrap/>
        <w:overflowPunct/>
        <w:topLinePunct w:val="0"/>
        <w:autoSpaceDE/>
        <w:autoSpaceDN/>
        <w:bidi w:val="0"/>
        <w:spacing w:line="58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6、法人授权委托书（用于证明呼伦贝尔北方药业有限公司授权孙小刚配合生态保护部门调查工作）（1页）</w:t>
      </w:r>
    </w:p>
    <w:p w14:paraId="707D6B4E">
      <w:pPr>
        <w:keepNext w:val="0"/>
        <w:keepLines w:val="0"/>
        <w:pageBreakBefore w:val="0"/>
        <w:widowControl w:val="0"/>
        <w:kinsoku/>
        <w:wordWrap/>
        <w:overflowPunct/>
        <w:topLinePunct w:val="0"/>
        <w:autoSpaceDE/>
        <w:autoSpaceDN/>
        <w:bidi w:val="0"/>
        <w:spacing w:line="58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7、内蒙古自治区环境保护厅文件 内环审〔2012〕57号关于呼伦贝尔北方药业有限公司医药化工产业园区示范工程变更项目环境影响报告书的批复（用于证明呼伦贝尔北方药业有限公司于2014年7月1日开始应执行GB13223-2011火电厂大气污染物排放标准，烟尘30mg/m3, 二氧化硫200mg/m3 、氮氧化物200mg/m3）4页。</w:t>
      </w:r>
    </w:p>
    <w:p w14:paraId="792BC7FB">
      <w:pPr>
        <w:keepNext w:val="0"/>
        <w:keepLines w:val="0"/>
        <w:pageBreakBefore w:val="0"/>
        <w:widowControl w:val="0"/>
        <w:kinsoku/>
        <w:wordWrap/>
        <w:overflowPunct/>
        <w:topLinePunct w:val="0"/>
        <w:autoSpaceDE/>
        <w:autoSpaceDN/>
        <w:bidi w:val="0"/>
        <w:spacing w:line="58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8、内蒙古自治区环境监测中心站于2014年2月出具的内环验字YS〔2012〕123号验收监测报告（用于证明呼伦贝尔北方药业有限公司项目验收时执行标准为烟尘30mg/m3, 二氧化硫100mg/m3 、氮氧化物200mg/m3）4页。</w:t>
      </w:r>
    </w:p>
    <w:p w14:paraId="6D2D04E1">
      <w:pPr>
        <w:keepNext w:val="0"/>
        <w:keepLines w:val="0"/>
        <w:pageBreakBefore w:val="0"/>
        <w:widowControl w:val="0"/>
        <w:kinsoku/>
        <w:wordWrap/>
        <w:overflowPunct/>
        <w:topLinePunct w:val="0"/>
        <w:autoSpaceDE/>
        <w:autoSpaceDN/>
        <w:bidi w:val="0"/>
        <w:spacing w:line="58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9、呼伦贝尔北方药业有限公司2017年12月4日至2017年12月08号排污许可证申请前信息公开表（用于证明呼伦贝尔北方药业有限公司当时申请时废气排放执行标准烟尘30mg/m3, 二氧化硫200mg/m3 、氮氧化物200mg/m3）3页。</w:t>
      </w:r>
    </w:p>
    <w:p w14:paraId="6EB7B9BB">
      <w:pPr>
        <w:keepNext w:val="0"/>
        <w:keepLines w:val="0"/>
        <w:pageBreakBefore w:val="0"/>
        <w:widowControl w:val="0"/>
        <w:kinsoku/>
        <w:wordWrap/>
        <w:overflowPunct/>
        <w:topLinePunct w:val="0"/>
        <w:autoSpaceDE/>
        <w:autoSpaceDN/>
        <w:bidi w:val="0"/>
        <w:spacing w:line="58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10、呼伦贝尔北方药业有限公司2024年11月18日排污许可限值进行重新申请报告（1页）排污许可证申请前信息公示表2024年11月20日至2024年11月26日（1页），修订后废气排放执法标准（1页）（用于证明呼伦贝尔北方药业有限公司废气执行标准调整）。</w:t>
      </w:r>
    </w:p>
    <w:p w14:paraId="6660F6E9">
      <w:pPr>
        <w:keepNext w:val="0"/>
        <w:keepLines w:val="0"/>
        <w:pageBreakBefore w:val="0"/>
        <w:widowControl w:val="0"/>
        <w:kinsoku/>
        <w:wordWrap/>
        <w:overflowPunct/>
        <w:topLinePunct w:val="0"/>
        <w:autoSpaceDE/>
        <w:autoSpaceDN/>
        <w:bidi w:val="0"/>
        <w:spacing w:line="58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11、排污许可证副本截图（用于证明呼伦贝尔北方药业有限公司排污许可证大气污染物排放限值，烟尘30mg/m3, 二氧化硫100mg/m3 、氮氧化物200mg/m3）4页）</w:t>
      </w:r>
    </w:p>
    <w:p w14:paraId="3AB003DB">
      <w:pPr>
        <w:keepNext w:val="0"/>
        <w:keepLines w:val="0"/>
        <w:pageBreakBefore w:val="0"/>
        <w:widowControl w:val="0"/>
        <w:kinsoku/>
        <w:wordWrap/>
        <w:overflowPunct/>
        <w:topLinePunct w:val="0"/>
        <w:autoSpaceDE/>
        <w:autoSpaceDN/>
        <w:bidi w:val="0"/>
        <w:spacing w:line="58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3、2024年12月12日10时10分至 11时03分对呼伦贝尔北方药业有限公司二电厂1号锅炉烟气在线自动监测设备现场检查（勘察）过程，执法记录仪录制视频（光盘）；</w:t>
      </w:r>
    </w:p>
    <w:p w14:paraId="1B065BB5">
      <w:pPr>
        <w:keepNext w:val="0"/>
        <w:keepLines w:val="0"/>
        <w:pageBreakBefore w:val="0"/>
        <w:widowControl w:val="0"/>
        <w:kinsoku/>
        <w:wordWrap/>
        <w:overflowPunct/>
        <w:topLinePunct w:val="0"/>
        <w:autoSpaceDE/>
        <w:autoSpaceDN/>
        <w:bidi w:val="0"/>
        <w:spacing w:line="58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12、现场对在烟气自动监测设备中二氧化硫超标数据取证照片（一张）；</w:t>
      </w:r>
    </w:p>
    <w:p w14:paraId="68255DEB">
      <w:pPr>
        <w:keepNext w:val="0"/>
        <w:keepLines w:val="0"/>
        <w:pageBreakBefore w:val="0"/>
        <w:widowControl w:val="0"/>
        <w:kinsoku/>
        <w:wordWrap/>
        <w:overflowPunct/>
        <w:topLinePunct w:val="0"/>
        <w:autoSpaceDE/>
        <w:autoSpaceDN/>
        <w:bidi w:val="0"/>
        <w:spacing w:line="58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13、企业营业执照和法人身份证复印件、孙小刚身份证复印件（各一份）；</w:t>
      </w:r>
    </w:p>
    <w:p w14:paraId="42014FCE">
      <w:pPr>
        <w:keepNext w:val="0"/>
        <w:keepLines w:val="0"/>
        <w:pageBreakBefore w:val="0"/>
        <w:widowControl w:val="0"/>
        <w:kinsoku/>
        <w:wordWrap/>
        <w:overflowPunct/>
        <w:topLinePunct w:val="0"/>
        <w:autoSpaceDE/>
        <w:autoSpaceDN/>
        <w:bidi w:val="0"/>
        <w:spacing w:line="58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14、执法人员行政执法证（1页）。</w:t>
      </w:r>
    </w:p>
    <w:p w14:paraId="2C6CC3E8">
      <w:pPr>
        <w:keepNext w:val="0"/>
        <w:keepLines w:val="0"/>
        <w:pageBreakBefore w:val="0"/>
        <w:widowControl w:val="0"/>
        <w:kinsoku/>
        <w:wordWrap/>
        <w:overflowPunct/>
        <w:topLinePunct w:val="0"/>
        <w:autoSpaceDE/>
        <w:autoSpaceDN/>
        <w:bidi w:val="0"/>
        <w:spacing w:line="58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15、呼伦贝尔北方药业有限公司现场平面图（用于证明呼伦贝尔北方药业有限公司超标排放点位）1页等证据为凭。</w:t>
      </w:r>
    </w:p>
    <w:p w14:paraId="6A4D80C6">
      <w:pPr>
        <w:keepNext w:val="0"/>
        <w:keepLines w:val="0"/>
        <w:pageBreakBefore w:val="0"/>
        <w:widowControl w:val="0"/>
        <w:kinsoku/>
        <w:wordWrap/>
        <w:overflowPunct/>
        <w:topLinePunct w:val="0"/>
        <w:autoSpaceDE/>
        <w:autoSpaceDN/>
        <w:bidi w:val="0"/>
        <w:spacing w:line="58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你公司的上述行为违反《中华人民共和国大气污染防治法》第十八条“企业事业单位和其他生产经营者建设对大气环境有影响的项目，应当依法进行环境影响评价、公开环境影响评价文件；向大气排放污染物的，应当符合大气污染物排放标准，遵守重点大气污染物排放总量控制要求。”的规定。</w:t>
      </w:r>
    </w:p>
    <w:p w14:paraId="6125D500">
      <w:pPr>
        <w:keepNext w:val="0"/>
        <w:keepLines w:val="0"/>
        <w:pageBreakBefore w:val="0"/>
        <w:widowControl w:val="0"/>
        <w:kinsoku/>
        <w:wordWrap/>
        <w:overflowPunct/>
        <w:topLinePunct w:val="0"/>
        <w:autoSpaceDE/>
        <w:autoSpaceDN/>
        <w:bidi w:val="0"/>
        <w:spacing w:line="58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我局于</w:t>
      </w:r>
      <w:r>
        <w:rPr>
          <w:rFonts w:hint="eastAsia" w:ascii="仿宋_GB2312" w:hAnsi="仿宋_GB2312" w:eastAsia="仿宋_GB2312" w:cs="仿宋_GB2312"/>
          <w:sz w:val="32"/>
          <w:szCs w:val="32"/>
          <w:lang w:val="en-US" w:eastAsia="zh-CN"/>
        </w:rPr>
        <w:t>2024年12月18日</w:t>
      </w:r>
      <w:r>
        <w:rPr>
          <w:rFonts w:hint="eastAsia" w:ascii="仿宋_GB2312" w:hAnsi="仿宋_GB2312" w:eastAsia="仿宋_GB2312" w:cs="仿宋_GB2312"/>
          <w:sz w:val="32"/>
          <w:szCs w:val="32"/>
        </w:rPr>
        <w:t>以《行政处罚事先告知书》</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呼</w:t>
      </w:r>
      <w:r>
        <w:rPr>
          <w:rFonts w:hint="eastAsia" w:ascii="仿宋_GB2312" w:hAnsi="仿宋_GB2312" w:eastAsia="仿宋_GB2312" w:cs="仿宋_GB2312"/>
          <w:sz w:val="32"/>
          <w:szCs w:val="32"/>
        </w:rPr>
        <w:t>环罚告〔</w:t>
      </w:r>
      <w:r>
        <w:rPr>
          <w:rFonts w:hint="eastAsia" w:ascii="仿宋_GB2312" w:hAnsi="仿宋_GB2312" w:eastAsia="仿宋_GB2312" w:cs="仿宋_GB2312"/>
          <w:sz w:val="32"/>
          <w:szCs w:val="32"/>
          <w:lang w:val="en-US" w:eastAsia="zh-CN"/>
        </w:rPr>
        <w:t>2024</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030028</w:t>
      </w:r>
      <w:r>
        <w:rPr>
          <w:rFonts w:hint="eastAsia" w:ascii="仿宋_GB2312" w:hAnsi="仿宋_GB2312" w:eastAsia="仿宋_GB2312" w:cs="仿宋_GB2312"/>
          <w:sz w:val="32"/>
          <w:szCs w:val="32"/>
        </w:rPr>
        <w:t>号</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告知你</w:t>
      </w:r>
      <w:r>
        <w:rPr>
          <w:rFonts w:hint="eastAsia" w:ascii="仿宋_GB2312" w:hAnsi="仿宋_GB2312" w:eastAsia="仿宋_GB2312" w:cs="仿宋_GB2312"/>
          <w:sz w:val="32"/>
          <w:szCs w:val="32"/>
          <w:lang w:val="en-US" w:eastAsia="zh-CN"/>
        </w:rPr>
        <w:t>公司享有</w:t>
      </w:r>
      <w:r>
        <w:rPr>
          <w:rFonts w:hint="eastAsia" w:ascii="仿宋_GB2312" w:hAnsi="仿宋_GB2312" w:eastAsia="仿宋_GB2312" w:cs="仿宋_GB2312"/>
          <w:sz w:val="32"/>
          <w:szCs w:val="32"/>
        </w:rPr>
        <w:t>陈述申辩权</w:t>
      </w:r>
      <w:r>
        <w:rPr>
          <w:rFonts w:hint="eastAsia" w:ascii="仿宋_GB2312" w:hAnsi="仿宋_GB2312" w:eastAsia="仿宋_GB2312" w:cs="仿宋_GB2312"/>
          <w:sz w:val="32"/>
          <w:szCs w:val="32"/>
          <w:lang w:val="en-US" w:eastAsia="zh-CN"/>
        </w:rPr>
        <w:t>和听证权</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你公司在规定的时间内未提出陈述申辩和听证。</w:t>
      </w:r>
    </w:p>
    <w:p w14:paraId="4DA02B91">
      <w:pPr>
        <w:keepNext w:val="0"/>
        <w:keepLines w:val="0"/>
        <w:pageBreakBefore w:val="0"/>
        <w:widowControl w:val="0"/>
        <w:kinsoku/>
        <w:wordWrap/>
        <w:overflowPunct/>
        <w:topLinePunct w:val="0"/>
        <w:autoSpaceDE/>
        <w:autoSpaceDN/>
        <w:bidi w:val="0"/>
        <w:spacing w:line="58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依据《中华人民共和国大气污染防治法》第九十九条第二项“违反本法规定，有下列行为之一的，由县级以上人民政府生态环境主管部门责令改正或者限制生产、停产整治，并处十万元以上一百万元以下的罚款；情节严重的，报经有批准权的人民政府批准，责令停业、关闭：（二）超过大气污染物排放标准或者超过重点大气污染物排放总量控制指标排放大气污染物的”的规定予以处罚。</w:t>
      </w:r>
    </w:p>
    <w:p w14:paraId="42E276B0">
      <w:pPr>
        <w:keepNext w:val="0"/>
        <w:keepLines w:val="0"/>
        <w:pageBreakBefore w:val="0"/>
        <w:widowControl w:val="0"/>
        <w:kinsoku/>
        <w:wordWrap/>
        <w:overflowPunct/>
        <w:topLinePunct w:val="0"/>
        <w:autoSpaceDE/>
        <w:autoSpaceDN/>
        <w:bidi w:val="0"/>
        <w:spacing w:line="580" w:lineRule="exact"/>
        <w:ind w:firstLine="643" w:firstLineChars="200"/>
        <w:jc w:val="left"/>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b/>
          <w:bCs/>
          <w:color w:val="333333"/>
          <w:sz w:val="32"/>
          <w:szCs w:val="32"/>
        </w:rPr>
        <w:t>依据《</w:t>
      </w:r>
      <w:r>
        <w:rPr>
          <w:rFonts w:hint="eastAsia" w:ascii="仿宋_GB2312" w:hAnsi="仿宋_GB2312" w:eastAsia="仿宋_GB2312" w:cs="仿宋_GB2312"/>
          <w:b/>
          <w:bCs/>
          <w:spacing w:val="-6"/>
          <w:sz w:val="32"/>
          <w:szCs w:val="32"/>
        </w:rPr>
        <w:t>内蒙古自治区生态环境</w:t>
      </w:r>
      <w:r>
        <w:rPr>
          <w:rFonts w:hint="eastAsia" w:ascii="仿宋_GB2312" w:hAnsi="仿宋_GB2312" w:eastAsia="仿宋_GB2312" w:cs="仿宋_GB2312"/>
          <w:b/>
          <w:bCs/>
          <w:spacing w:val="-6"/>
          <w:sz w:val="32"/>
          <w:szCs w:val="32"/>
          <w:lang w:eastAsia="zh-CN"/>
        </w:rPr>
        <w:t>系统</w:t>
      </w:r>
      <w:r>
        <w:rPr>
          <w:rFonts w:hint="eastAsia" w:ascii="仿宋_GB2312" w:hAnsi="仿宋_GB2312" w:eastAsia="仿宋_GB2312" w:cs="仿宋_GB2312"/>
          <w:b/>
          <w:bCs/>
          <w:spacing w:val="-6"/>
          <w:sz w:val="32"/>
          <w:szCs w:val="32"/>
        </w:rPr>
        <w:t>行政处罚裁量基准规定（试行）</w:t>
      </w:r>
      <w:r>
        <w:rPr>
          <w:rFonts w:hint="eastAsia" w:ascii="仿宋_GB2312" w:hAnsi="仿宋_GB2312" w:eastAsia="仿宋_GB2312" w:cs="仿宋_GB2312"/>
          <w:b/>
          <w:bCs/>
          <w:color w:val="333333"/>
          <w:sz w:val="32"/>
          <w:szCs w:val="32"/>
        </w:rPr>
        <w:t>》裁量</w:t>
      </w:r>
      <w:r>
        <w:rPr>
          <w:rFonts w:hint="eastAsia" w:ascii="仿宋_GB2312" w:hAnsi="仿宋_GB2312" w:eastAsia="仿宋_GB2312" w:cs="仿宋_GB2312"/>
          <w:color w:val="333333"/>
          <w:sz w:val="32"/>
          <w:szCs w:val="32"/>
        </w:rPr>
        <w:t>如下：</w:t>
      </w:r>
    </w:p>
    <w:p w14:paraId="1D93D4BF">
      <w:pPr>
        <w:keepNext w:val="0"/>
        <w:keepLines w:val="0"/>
        <w:pageBreakBefore w:val="0"/>
        <w:widowControl w:val="0"/>
        <w:kinsoku/>
        <w:wordWrap/>
        <w:overflowPunct/>
        <w:topLinePunct w:val="0"/>
        <w:autoSpaceDE/>
        <w:autoSpaceDN/>
        <w:bidi w:val="0"/>
        <w:spacing w:line="580" w:lineRule="exact"/>
        <w:ind w:firstLine="640" w:firstLineChars="200"/>
        <w:jc w:val="left"/>
        <w:textAlignment w:val="auto"/>
        <w:rPr>
          <w:rFonts w:hint="eastAsia" w:ascii="仿宋_GB2312" w:hAnsi="仿宋_GB2312" w:eastAsia="仿宋_GB2312" w:cs="仿宋_GB2312"/>
          <w:color w:val="333333"/>
          <w:sz w:val="32"/>
          <w:szCs w:val="32"/>
          <w:lang w:val="en-US" w:eastAsia="zh-CN"/>
        </w:rPr>
      </w:pPr>
      <w:r>
        <w:rPr>
          <w:rFonts w:hint="eastAsia" w:ascii="仿宋_GB2312" w:hAnsi="仿宋_GB2312" w:eastAsia="仿宋_GB2312" w:cs="仿宋_GB2312"/>
          <w:color w:val="333333"/>
          <w:sz w:val="32"/>
          <w:szCs w:val="32"/>
          <w:lang w:val="en-US" w:eastAsia="zh-CN"/>
        </w:rPr>
        <w:t>超标、超总量排放污染物的：</w:t>
      </w:r>
    </w:p>
    <w:p w14:paraId="580E3BAE">
      <w:pPr>
        <w:keepNext w:val="0"/>
        <w:keepLines w:val="0"/>
        <w:pageBreakBefore w:val="0"/>
        <w:widowControl w:val="0"/>
        <w:kinsoku/>
        <w:wordWrap/>
        <w:overflowPunct/>
        <w:topLinePunct w:val="0"/>
        <w:autoSpaceDE/>
        <w:autoSpaceDN/>
        <w:bidi w:val="0"/>
        <w:spacing w:line="580" w:lineRule="exact"/>
        <w:ind w:firstLine="640" w:firstLineChars="200"/>
        <w:jc w:val="left"/>
        <w:textAlignment w:val="auto"/>
        <w:rPr>
          <w:rFonts w:hint="eastAsia" w:ascii="仿宋_GB2312" w:hAnsi="仿宋_GB2312" w:eastAsia="仿宋_GB2312" w:cs="仿宋_GB2312"/>
          <w:color w:val="333333"/>
          <w:sz w:val="32"/>
          <w:szCs w:val="32"/>
          <w:lang w:val="en-US" w:eastAsia="zh-CN"/>
        </w:rPr>
      </w:pPr>
      <w:r>
        <w:rPr>
          <w:rFonts w:hint="eastAsia" w:ascii="仿宋_GB2312" w:hAnsi="仿宋_GB2312" w:eastAsia="仿宋_GB2312" w:cs="仿宋_GB2312"/>
          <w:color w:val="333333"/>
          <w:sz w:val="32"/>
          <w:szCs w:val="32"/>
          <w:lang w:val="en-US" w:eastAsia="zh-CN"/>
        </w:rPr>
        <w:t xml:space="preserve">使用自动监测数据的：10 万+1 万×一般污染物累计超标倍数+2 万×有毒有害 污染物累计超标倍数=罚款金额。 </w:t>
      </w:r>
    </w:p>
    <w:p w14:paraId="073FAB75">
      <w:pPr>
        <w:keepNext w:val="0"/>
        <w:keepLines w:val="0"/>
        <w:pageBreakBefore w:val="0"/>
        <w:widowControl w:val="0"/>
        <w:kinsoku/>
        <w:wordWrap/>
        <w:overflowPunct/>
        <w:topLinePunct w:val="0"/>
        <w:autoSpaceDE/>
        <w:autoSpaceDN/>
        <w:bidi w:val="0"/>
        <w:spacing w:line="580" w:lineRule="exact"/>
        <w:ind w:firstLine="640" w:firstLineChars="200"/>
        <w:jc w:val="left"/>
        <w:textAlignment w:val="auto"/>
        <w:rPr>
          <w:rFonts w:hint="eastAsia" w:ascii="仿宋_GB2312" w:hAnsi="仿宋_GB2312" w:eastAsia="仿宋_GB2312" w:cs="仿宋_GB2312"/>
          <w:color w:val="333333"/>
          <w:sz w:val="32"/>
          <w:szCs w:val="32"/>
          <w:lang w:val="en-US" w:eastAsia="zh-CN"/>
        </w:rPr>
      </w:pPr>
      <w:r>
        <w:rPr>
          <w:rFonts w:hint="eastAsia" w:ascii="仿宋_GB2312" w:hAnsi="仿宋_GB2312" w:eastAsia="仿宋_GB2312" w:cs="仿宋_GB2312"/>
          <w:color w:val="333333"/>
          <w:sz w:val="32"/>
          <w:szCs w:val="32"/>
          <w:lang w:val="en-US" w:eastAsia="zh-CN"/>
        </w:rPr>
        <w:t>累计超标倍数=自动监测日均值超标倍数的累加。罚金最高不超过 100 万元。</w:t>
      </w:r>
    </w:p>
    <w:p w14:paraId="04CAA666">
      <w:pPr>
        <w:keepNext w:val="0"/>
        <w:keepLines w:val="0"/>
        <w:pageBreakBefore w:val="0"/>
        <w:widowControl w:val="0"/>
        <w:kinsoku/>
        <w:wordWrap/>
        <w:overflowPunct/>
        <w:topLinePunct w:val="0"/>
        <w:autoSpaceDE/>
        <w:autoSpaceDN/>
        <w:bidi w:val="0"/>
        <w:spacing w:line="580" w:lineRule="exact"/>
        <w:ind w:firstLine="640" w:firstLineChars="200"/>
        <w:jc w:val="left"/>
        <w:textAlignment w:val="auto"/>
        <w:rPr>
          <w:rFonts w:hint="eastAsia" w:ascii="仿宋_GB2312" w:hAnsi="仿宋_GB2312" w:eastAsia="仿宋_GB2312" w:cs="仿宋_GB2312"/>
          <w:color w:val="333333"/>
          <w:sz w:val="32"/>
          <w:szCs w:val="32"/>
          <w:lang w:val="en-US" w:eastAsia="zh-CN"/>
        </w:rPr>
      </w:pPr>
      <w:r>
        <w:rPr>
          <w:rFonts w:hint="eastAsia" w:ascii="仿宋_GB2312" w:hAnsi="仿宋_GB2312" w:eastAsia="仿宋_GB2312" w:cs="仿宋_GB2312"/>
          <w:color w:val="333333"/>
          <w:sz w:val="32"/>
          <w:szCs w:val="32"/>
          <w:lang w:val="en-US" w:eastAsia="zh-CN"/>
        </w:rPr>
        <w:t xml:space="preserve">呼伦贝尔北方药业有限公司二氧化硫超标排放处罚金应为：10 万+1 万×超标倍数2.316784倍=12.316784万元。            </w:t>
      </w:r>
    </w:p>
    <w:p w14:paraId="0D965688">
      <w:pPr>
        <w:keepNext w:val="0"/>
        <w:keepLines w:val="0"/>
        <w:pageBreakBefore w:val="0"/>
        <w:widowControl w:val="0"/>
        <w:kinsoku/>
        <w:wordWrap/>
        <w:overflowPunct/>
        <w:topLinePunct w:val="0"/>
        <w:autoSpaceDE/>
        <w:autoSpaceDN/>
        <w:bidi w:val="0"/>
        <w:spacing w:line="580" w:lineRule="exact"/>
        <w:ind w:left="639" w:leftChars="152" w:hanging="320" w:hangingChars="100"/>
        <w:jc w:val="left"/>
        <w:textAlignment w:val="auto"/>
        <w:rPr>
          <w:rFonts w:hint="eastAsia" w:ascii="仿宋_GB2312" w:hAnsi="仿宋_GB2312" w:eastAsia="仿宋_GB2312" w:cs="仿宋_GB2312"/>
          <w:color w:val="333333"/>
          <w:sz w:val="32"/>
          <w:szCs w:val="32"/>
          <w:lang w:val="en-US" w:eastAsia="zh-CN"/>
        </w:rPr>
      </w:pPr>
      <w:r>
        <w:rPr>
          <w:rFonts w:hint="eastAsia" w:ascii="仿宋_GB2312" w:hAnsi="仿宋_GB2312" w:eastAsia="仿宋_GB2312" w:cs="仿宋_GB2312"/>
          <w:sz w:val="32"/>
          <w:szCs w:val="32"/>
          <w:lang w:val="en-US" w:eastAsia="zh-CN"/>
        </w:rPr>
        <w:t xml:space="preserve">（超标倍数累计：0.3807+0.4504+0.23013+0.54491+0.400074+0.31057=2.316784倍）。  </w:t>
      </w:r>
      <w:r>
        <w:rPr>
          <w:rFonts w:hint="eastAsia" w:ascii="仿宋_GB2312" w:hAnsi="仿宋_GB2312" w:eastAsia="仿宋_GB2312" w:cs="仿宋_GB2312"/>
          <w:color w:val="333333"/>
          <w:sz w:val="32"/>
          <w:szCs w:val="32"/>
          <w:lang w:val="en-US" w:eastAsia="zh-CN"/>
        </w:rPr>
        <w:t xml:space="preserve">                 </w:t>
      </w:r>
    </w:p>
    <w:p w14:paraId="42E20D4F">
      <w:pPr>
        <w:keepNext w:val="0"/>
        <w:keepLines w:val="0"/>
        <w:pageBreakBefore w:val="0"/>
        <w:widowControl w:val="0"/>
        <w:kinsoku/>
        <w:wordWrap/>
        <w:overflowPunct/>
        <w:topLinePunct w:val="0"/>
        <w:autoSpaceDE/>
        <w:autoSpaceDN/>
        <w:bidi w:val="0"/>
        <w:spacing w:line="580" w:lineRule="exact"/>
        <w:ind w:firstLine="640" w:firstLineChars="200"/>
        <w:jc w:val="left"/>
        <w:textAlignment w:val="auto"/>
        <w:rPr>
          <w:rFonts w:hint="eastAsia" w:ascii="仿宋_GB2312" w:hAnsi="仿宋_GB2312" w:eastAsia="仿宋_GB2312" w:cs="仿宋_GB2312"/>
          <w:color w:val="333333"/>
          <w:sz w:val="32"/>
          <w:szCs w:val="32"/>
          <w:lang w:val="en-US" w:eastAsia="zh-CN"/>
        </w:rPr>
      </w:pPr>
      <w:r>
        <w:rPr>
          <w:rFonts w:hint="eastAsia" w:ascii="仿宋_GB2312" w:hAnsi="仿宋_GB2312" w:eastAsia="仿宋_GB2312" w:cs="仿宋_GB2312"/>
          <w:color w:val="333333"/>
          <w:sz w:val="32"/>
          <w:szCs w:val="32"/>
          <w:lang w:val="en-US" w:eastAsia="zh-CN"/>
        </w:rPr>
        <w:t>你公司积极配合调查，经我局案件审议领导小组讨论后决定对你公司处以如下行政处罚：</w:t>
      </w:r>
    </w:p>
    <w:p w14:paraId="1EBE574D">
      <w:pPr>
        <w:keepNext w:val="0"/>
        <w:keepLines w:val="0"/>
        <w:pageBreakBefore w:val="0"/>
        <w:widowControl w:val="0"/>
        <w:kinsoku/>
        <w:wordWrap/>
        <w:overflowPunct/>
        <w:topLinePunct w:val="0"/>
        <w:autoSpaceDE/>
        <w:autoSpaceDN/>
        <w:bidi w:val="0"/>
        <w:spacing w:line="580" w:lineRule="exact"/>
        <w:ind w:left="319" w:leftChars="152" w:firstLine="294" w:firstLineChars="100"/>
        <w:jc w:val="both"/>
        <w:textAlignment w:val="auto"/>
        <w:rPr>
          <w:rFonts w:hint="eastAsia" w:ascii="仿宋_GB2312" w:hAnsi="仿宋_GB2312" w:eastAsia="仿宋_GB2312" w:cs="仿宋_GB2312"/>
          <w:color w:val="333333"/>
          <w:w w:val="92"/>
          <w:sz w:val="32"/>
          <w:szCs w:val="32"/>
          <w:lang w:val="en-US" w:eastAsia="zh-CN"/>
        </w:rPr>
      </w:pPr>
      <w:r>
        <w:rPr>
          <w:rFonts w:hint="eastAsia" w:ascii="仿宋_GB2312" w:hAnsi="仿宋_GB2312" w:eastAsia="仿宋_GB2312" w:cs="仿宋_GB2312"/>
          <w:color w:val="333333"/>
          <w:w w:val="92"/>
          <w:sz w:val="32"/>
          <w:szCs w:val="32"/>
          <w:lang w:val="en-US" w:eastAsia="zh-CN"/>
        </w:rPr>
        <w:t>罚款壹拾贰万叁仟壹佰陆拾柒元捌角肆分（123167.84）整。</w:t>
      </w:r>
    </w:p>
    <w:p w14:paraId="3847D5F7">
      <w:pPr>
        <w:keepNext w:val="0"/>
        <w:keepLines w:val="0"/>
        <w:pageBreakBefore w:val="0"/>
        <w:widowControl w:val="0"/>
        <w:kinsoku/>
        <w:wordWrap/>
        <w:overflowPunct/>
        <w:topLinePunct w:val="0"/>
        <w:autoSpaceDE/>
        <w:autoSpaceDN/>
        <w:bidi w:val="0"/>
        <w:spacing w:line="58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限于接到本处罚决定之日起十五日内到指定的银行或者通过电子支付系统缴纳罚款。逾期不缴纳罚款的，我局可以根据《中华人民共和国行政处罚法》第七十二条第一款第一项规定每日按罚款数额的百分之三加处罚款。</w:t>
      </w:r>
    </w:p>
    <w:p w14:paraId="234D1725">
      <w:pPr>
        <w:keepNext w:val="0"/>
        <w:keepLines w:val="0"/>
        <w:pageBreakBefore w:val="0"/>
        <w:widowControl w:val="0"/>
        <w:kinsoku/>
        <w:wordWrap/>
        <w:overflowPunct/>
        <w:topLinePunct w:val="0"/>
        <w:autoSpaceDE/>
        <w:autoSpaceDN/>
        <w:bidi w:val="0"/>
        <w:adjustRightInd/>
        <w:snapToGrid w:val="0"/>
        <w:spacing w:line="580" w:lineRule="exact"/>
        <w:ind w:firstLine="640" w:firstLineChars="200"/>
        <w:jc w:val="both"/>
        <w:textAlignment w:val="auto"/>
        <w:rPr>
          <w:rFonts w:hint="eastAsia" w:ascii="仿宋_GB2312" w:hAnsi="仿宋_GB2312" w:eastAsia="仿宋_GB2312" w:cs="仿宋_GB2312"/>
          <w:sz w:val="32"/>
          <w:szCs w:val="32"/>
          <w:u w:val="none"/>
        </w:rPr>
      </w:pPr>
      <w:r>
        <w:rPr>
          <w:rFonts w:hint="eastAsia" w:ascii="仿宋_GB2312" w:hAnsi="仿宋_GB2312" w:eastAsia="仿宋_GB2312" w:cs="仿宋_GB2312"/>
          <w:sz w:val="32"/>
          <w:szCs w:val="32"/>
          <w:u w:val="none"/>
        </w:rPr>
        <w:t>你单位如不服本处罚决定，可在收到本处罚决定书之日起</w:t>
      </w:r>
      <w:r>
        <w:rPr>
          <w:rFonts w:hint="eastAsia" w:ascii="仿宋_GB2312" w:hAnsi="仿宋_GB2312" w:eastAsia="仿宋_GB2312" w:cs="仿宋_GB2312"/>
          <w:sz w:val="32"/>
          <w:szCs w:val="32"/>
          <w:u w:val="none"/>
          <w:lang w:val="en-US" w:eastAsia="zh-CN"/>
        </w:rPr>
        <w:t>六十</w:t>
      </w:r>
      <w:r>
        <w:rPr>
          <w:rFonts w:hint="eastAsia" w:ascii="仿宋_GB2312" w:hAnsi="仿宋_GB2312" w:eastAsia="仿宋_GB2312" w:cs="仿宋_GB2312"/>
          <w:sz w:val="32"/>
          <w:szCs w:val="32"/>
          <w:u w:val="none"/>
        </w:rPr>
        <w:t>日内向呼伦贝尔市人民政府申请行政复议，也可以在</w:t>
      </w:r>
      <w:r>
        <w:rPr>
          <w:rFonts w:hint="eastAsia" w:ascii="仿宋_GB2312" w:hAnsi="仿宋_GB2312" w:eastAsia="仿宋_GB2312" w:cs="仿宋_GB2312"/>
          <w:sz w:val="32"/>
          <w:szCs w:val="32"/>
          <w:u w:val="none"/>
          <w:lang w:val="en-US" w:eastAsia="zh-CN"/>
        </w:rPr>
        <w:t>六</w:t>
      </w:r>
      <w:r>
        <w:rPr>
          <w:rFonts w:hint="eastAsia" w:ascii="仿宋_GB2312" w:hAnsi="仿宋_GB2312" w:eastAsia="仿宋_GB2312" w:cs="仿宋_GB2312"/>
          <w:sz w:val="32"/>
          <w:szCs w:val="32"/>
          <w:u w:val="none"/>
        </w:rPr>
        <w:t>个月内向</w:t>
      </w:r>
      <w:r>
        <w:rPr>
          <w:rFonts w:hint="eastAsia" w:ascii="仿宋_GB2312" w:hAnsi="仿宋_GB2312" w:eastAsia="仿宋_GB2312" w:cs="仿宋_GB2312"/>
          <w:sz w:val="32"/>
          <w:szCs w:val="32"/>
          <w:u w:val="none"/>
          <w:lang w:val="en-US" w:eastAsia="zh-CN"/>
        </w:rPr>
        <w:t>海拉尔铁路运输</w:t>
      </w:r>
      <w:r>
        <w:rPr>
          <w:rFonts w:hint="eastAsia" w:ascii="仿宋_GB2312" w:hAnsi="仿宋_GB2312" w:eastAsia="仿宋_GB2312" w:cs="仿宋_GB2312"/>
          <w:sz w:val="32"/>
          <w:szCs w:val="32"/>
          <w:u w:val="none"/>
        </w:rPr>
        <w:t>法院提起行政诉讼。申请行政复议或者提起行政诉讼，不停止行政处罚决定的执行。</w:t>
      </w:r>
    </w:p>
    <w:p w14:paraId="5D619256">
      <w:pPr>
        <w:keepNext w:val="0"/>
        <w:keepLines w:val="0"/>
        <w:pageBreakBefore w:val="0"/>
        <w:widowControl w:val="0"/>
        <w:kinsoku/>
        <w:wordWrap/>
        <w:overflowPunct/>
        <w:topLinePunct w:val="0"/>
        <w:autoSpaceDE/>
        <w:autoSpaceDN/>
        <w:bidi w:val="0"/>
        <w:adjustRightInd/>
        <w:snapToGrid w:val="0"/>
        <w:spacing w:line="580" w:lineRule="exact"/>
        <w:ind w:firstLine="640" w:firstLineChars="200"/>
        <w:jc w:val="both"/>
        <w:textAlignment w:val="auto"/>
        <w:rPr>
          <w:rFonts w:hint="eastAsia" w:ascii="仿宋_GB2312" w:hAnsi="仿宋_GB2312" w:eastAsia="仿宋_GB2312" w:cs="仿宋_GB2312"/>
          <w:sz w:val="32"/>
          <w:szCs w:val="32"/>
          <w:u w:val="none"/>
        </w:rPr>
      </w:pPr>
      <w:r>
        <w:rPr>
          <w:rFonts w:hint="eastAsia" w:ascii="仿宋_GB2312" w:hAnsi="仿宋_GB2312" w:eastAsia="仿宋_GB2312" w:cs="仿宋_GB2312"/>
          <w:sz w:val="32"/>
          <w:szCs w:val="32"/>
          <w:u w:val="none"/>
        </w:rPr>
        <w:t>逾期不申请行政复议，不提起行政诉讼，又不履行本处罚决定的，我局将依法申请人民法院强制执行。</w:t>
      </w:r>
    </w:p>
    <w:p w14:paraId="0B6FE382">
      <w:pPr>
        <w:pStyle w:val="2"/>
        <w:keepNext w:val="0"/>
        <w:keepLines w:val="0"/>
        <w:pageBreakBefore w:val="0"/>
        <w:wordWrap/>
        <w:overflowPunct/>
        <w:bidi w:val="0"/>
        <w:snapToGrid w:val="0"/>
        <w:spacing w:line="580" w:lineRule="exact"/>
      </w:pPr>
    </w:p>
    <w:p w14:paraId="6912D596">
      <w:pPr>
        <w:pStyle w:val="2"/>
        <w:keepNext w:val="0"/>
        <w:keepLines w:val="0"/>
        <w:pageBreakBefore w:val="0"/>
        <w:wordWrap/>
        <w:overflowPunct/>
        <w:bidi w:val="0"/>
        <w:snapToGrid w:val="0"/>
        <w:spacing w:line="580" w:lineRule="exact"/>
      </w:pPr>
    </w:p>
    <w:p w14:paraId="29300300">
      <w:pPr>
        <w:keepNext w:val="0"/>
        <w:keepLines w:val="0"/>
        <w:pageBreakBefore w:val="0"/>
        <w:widowControl/>
        <w:kinsoku/>
        <w:wordWrap/>
        <w:overflowPunct/>
        <w:topLinePunct/>
        <w:autoSpaceDE/>
        <w:autoSpaceDN w:val="0"/>
        <w:bidi w:val="0"/>
        <w:adjustRightInd w:val="0"/>
        <w:snapToGrid w:val="0"/>
        <w:spacing w:line="580" w:lineRule="exact"/>
        <w:ind w:firstLine="4800" w:firstLineChars="1500"/>
        <w:textAlignment w:val="baseline"/>
        <w:rPr>
          <w:rFonts w:hint="eastAsia" w:ascii="仿宋_GB2312" w:hAnsi="仿宋_GB2312" w:eastAsia="仿宋_GB2312" w:cs="仿宋_GB2312"/>
          <w:sz w:val="32"/>
          <w:szCs w:val="32"/>
        </w:rPr>
      </w:pPr>
    </w:p>
    <w:p w14:paraId="4FBF27BA">
      <w:pPr>
        <w:keepNext w:val="0"/>
        <w:keepLines w:val="0"/>
        <w:pageBreakBefore w:val="0"/>
        <w:widowControl/>
        <w:kinsoku/>
        <w:wordWrap/>
        <w:overflowPunct/>
        <w:topLinePunct/>
        <w:autoSpaceDE/>
        <w:autoSpaceDN w:val="0"/>
        <w:bidi w:val="0"/>
        <w:adjustRightInd w:val="0"/>
        <w:snapToGrid w:val="0"/>
        <w:spacing w:line="580" w:lineRule="exact"/>
        <w:ind w:firstLine="4800" w:firstLineChars="1500"/>
        <w:textAlignment w:val="baseline"/>
        <w:rPr>
          <w:rFonts w:hint="eastAsia" w:ascii="仿宋_GB2312" w:hAnsi="仿宋_GB2312" w:eastAsia="仿宋_GB2312" w:cs="仿宋_GB2312"/>
          <w:sz w:val="32"/>
          <w:szCs w:val="32"/>
          <w:lang w:eastAsia="zh-CN"/>
        </w:rPr>
      </w:pPr>
    </w:p>
    <w:p w14:paraId="58EC8C78">
      <w:pPr>
        <w:keepNext w:val="0"/>
        <w:keepLines w:val="0"/>
        <w:pageBreakBefore w:val="0"/>
        <w:widowControl/>
        <w:kinsoku/>
        <w:wordWrap/>
        <w:overflowPunct/>
        <w:topLinePunct/>
        <w:autoSpaceDE/>
        <w:autoSpaceDN w:val="0"/>
        <w:bidi w:val="0"/>
        <w:adjustRightInd w:val="0"/>
        <w:snapToGrid w:val="0"/>
        <w:spacing w:line="580" w:lineRule="exact"/>
        <w:ind w:firstLine="4800" w:firstLineChars="15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呼伦贝</w:t>
      </w:r>
      <w:r>
        <w:rPr>
          <w:rFonts w:hint="eastAsia" w:ascii="仿宋_GB2312" w:hAnsi="仿宋_GB2312" w:eastAsia="仿宋_GB2312" w:cs="仿宋_GB2312"/>
          <w:sz w:val="32"/>
          <w:szCs w:val="32"/>
          <w:lang w:eastAsia="zh-CN"/>
        </w:rPr>
        <w:t>尔</w:t>
      </w:r>
      <w:r>
        <w:rPr>
          <w:rFonts w:hint="eastAsia" w:ascii="仿宋_GB2312" w:hAnsi="仿宋_GB2312" w:eastAsia="仿宋_GB2312" w:cs="仿宋_GB2312"/>
          <w:sz w:val="32"/>
          <w:szCs w:val="32"/>
        </w:rPr>
        <w:t xml:space="preserve">市生态环境局        </w:t>
      </w:r>
    </w:p>
    <w:p w14:paraId="4A569AAE">
      <w:pPr>
        <w:keepNext w:val="0"/>
        <w:keepLines w:val="0"/>
        <w:pageBreakBefore w:val="0"/>
        <w:widowControl/>
        <w:kinsoku/>
        <w:wordWrap/>
        <w:overflowPunct/>
        <w:topLinePunct/>
        <w:autoSpaceDE/>
        <w:autoSpaceDN w:val="0"/>
        <w:bidi w:val="0"/>
        <w:adjustRightInd w:val="0"/>
        <w:snapToGrid w:val="0"/>
        <w:spacing w:line="580" w:lineRule="exact"/>
        <w:ind w:firstLine="5440" w:firstLineChars="1700"/>
        <w:textAlignment w:val="baseline"/>
        <w:rPr>
          <w:rFonts w:hint="default"/>
          <w:lang w:val="en-US"/>
        </w:rPr>
      </w:pPr>
      <w:r>
        <w:rPr>
          <w:rFonts w:hint="eastAsia" w:ascii="仿宋_GB2312" w:hAnsi="仿宋_GB2312" w:eastAsia="仿宋_GB2312" w:cs="仿宋_GB2312"/>
          <w:sz w:val="32"/>
          <w:szCs w:val="32"/>
          <w:lang w:val="en-US" w:eastAsia="zh-CN"/>
        </w:rPr>
        <w:t>2024</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val="en-US" w:eastAsia="zh-CN"/>
        </w:rPr>
        <w:t>12</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lang w:val="en-US" w:eastAsia="zh-CN"/>
        </w:rPr>
        <w:t>27日</w:t>
      </w:r>
    </w:p>
    <w:p w14:paraId="5DC2BF9D">
      <w:pPr>
        <w:keepNext w:val="0"/>
        <w:keepLines w:val="0"/>
        <w:pageBreakBefore w:val="0"/>
        <w:wordWrap/>
        <w:overflowPunct/>
        <w:bidi w:val="0"/>
        <w:snapToGrid w:val="0"/>
        <w:spacing w:line="580" w:lineRule="exact"/>
      </w:pPr>
    </w:p>
    <w:p w14:paraId="0E2A5608">
      <w:pPr>
        <w:keepNext w:val="0"/>
        <w:keepLines w:val="0"/>
        <w:pageBreakBefore w:val="0"/>
        <w:widowControl w:val="0"/>
        <w:kinsoku/>
        <w:wordWrap/>
        <w:overflowPunct/>
        <w:topLinePunct w:val="0"/>
        <w:autoSpaceDE/>
        <w:autoSpaceDN/>
        <w:bidi w:val="0"/>
        <w:spacing w:line="580" w:lineRule="exact"/>
        <w:ind w:firstLine="640" w:firstLineChars="200"/>
        <w:textAlignment w:val="auto"/>
        <w:rPr>
          <w:rFonts w:hint="eastAsia" w:ascii="仿宋_GB2312" w:hAnsi="仿宋_GB2312" w:eastAsia="仿宋_GB2312" w:cs="仿宋_GB2312"/>
          <w:sz w:val="32"/>
          <w:szCs w:val="32"/>
          <w:lang w:eastAsia="zh-CN"/>
        </w:rPr>
      </w:pPr>
    </w:p>
    <w:p w14:paraId="622AA5BA">
      <w:pPr>
        <w:keepNext w:val="0"/>
        <w:keepLines w:val="0"/>
        <w:pageBreakBefore w:val="0"/>
        <w:kinsoku/>
        <w:wordWrap/>
        <w:overflowPunct/>
        <w:topLinePunct w:val="0"/>
        <w:autoSpaceDE/>
        <w:autoSpaceDN/>
        <w:bidi w:val="0"/>
        <w:spacing w:line="580" w:lineRule="exact"/>
        <w:ind w:firstLine="640" w:firstLineChars="200"/>
        <w:jc w:val="left"/>
        <w:textAlignment w:val="auto"/>
        <w:rPr>
          <w:rFonts w:hint="eastAsia" w:ascii="仿宋" w:hAnsi="仿宋" w:eastAsia="仿宋" w:cs="仿宋"/>
          <w:b w:val="0"/>
          <w:color w:val="000000" w:themeColor="text1"/>
          <w:kern w:val="2"/>
          <w:sz w:val="32"/>
          <w:szCs w:val="32"/>
          <w:lang w:val="en-US" w:eastAsia="zh-CN"/>
          <w14:textFill>
            <w14:solidFill>
              <w14:schemeClr w14:val="tx1"/>
            </w14:solidFill>
          </w14:textFill>
        </w:rPr>
      </w:pPr>
    </w:p>
    <w:p w14:paraId="3336B45B"/>
    <w:p w14:paraId="17284953"/>
    <w:p w14:paraId="400DDCB1"/>
    <w:p w14:paraId="49641A96"/>
    <w:sectPr>
      <w:footerReference r:id="rId5" w:type="default"/>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05FB6E">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3E63896">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3E63896">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JhYWM5ZDE0OGVhYjFlNGVlM2MwNzkzZjdkZTdlZDQifQ=="/>
  </w:docVars>
  <w:rsids>
    <w:rsidRoot w:val="03A52463"/>
    <w:rsid w:val="03A524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5">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Body Text"/>
    <w:basedOn w:val="1"/>
    <w:semiHidden/>
    <w:qFormat/>
    <w:uiPriority w:val="0"/>
    <w:rPr>
      <w:rFonts w:ascii="Arial" w:hAnsi="Arial" w:eastAsia="Arial" w:cs="Arial"/>
      <w:sz w:val="21"/>
      <w:szCs w:val="21"/>
      <w:lang w:val="en-US" w:eastAsia="en-US" w:bidi="ar-SA"/>
    </w:rPr>
  </w:style>
  <w:style w:type="paragraph" w:styleId="3">
    <w:name w:val="footer"/>
    <w:basedOn w:val="1"/>
    <w:qFormat/>
    <w:uiPriority w:val="0"/>
    <w:pPr>
      <w:tabs>
        <w:tab w:val="center" w:pos="4153"/>
        <w:tab w:val="right" w:pos="8306"/>
      </w:tabs>
      <w:snapToGrid w:val="0"/>
      <w:jc w:val="left"/>
    </w:pPr>
    <w:rPr>
      <w:sz w:val="18"/>
    </w:rPr>
  </w:style>
  <w:style w:type="paragraph" w:customStyle="1" w:styleId="6">
    <w:name w:val="Plain Text"/>
    <w:basedOn w:val="1"/>
    <w:autoRedefine/>
    <w:qFormat/>
    <w:uiPriority w:val="0"/>
    <w:rPr>
      <w:rFonts w:ascii="宋体" w:hAnsi="Courier New"/>
      <w:kern w:val="2"/>
      <w:sz w:val="21"/>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6</TotalTime>
  <ScaleCrop>false</ScaleCrop>
  <LinksUpToDate>false</LinksUpToDate>
  <CharactersWithSpaces>0</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2024-12-27T02:01:00Z</dcterms:created>
  <dc:creator>a1 nits</dc:creator>
  <cp:lastModifiedBy>a1 nits</cp:lastModifiedBy>
  <dcterms:modified xsi:type="dcterms:W3CDTF">2024-12-27T02:27:25Z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D4F8BC1002844D5D8B8471BF5CDE800B_11</vt:lpwstr>
  </property>
</Properties>
</file>