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DBA758">
      <w:pPr>
        <w:rPr>
          <w:rFonts w:hint="eastAsia" w:ascii="黑体" w:hAnsi="黑体" w:eastAsia="黑体"/>
          <w:b/>
        </w:rPr>
      </w:pPr>
      <w:r>
        <w:rPr>
          <w:rFonts w:hint="eastAsia" w:ascii="黑体" w:hAnsi="黑体" w:eastAsia="黑体"/>
          <w:b/>
        </w:rPr>
        <w:t>一、内蒙古能源集团扎兰屯100万千瓦风储项目南区30万千瓦风储工程</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7421"/>
      </w:tblGrid>
      <w:tr w14:paraId="09E12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0E8AB749">
            <w:pPr>
              <w:jc w:val="center"/>
              <w:rPr>
                <w:rFonts w:ascii="仿宋_GB2312" w:eastAsia="仿宋_GB2312"/>
              </w:rPr>
            </w:pPr>
            <w:r>
              <w:rPr>
                <w:rFonts w:hint="eastAsia" w:ascii="仿宋_GB2312" w:eastAsia="仿宋_GB2312"/>
              </w:rPr>
              <w:t>序号</w:t>
            </w:r>
          </w:p>
        </w:tc>
        <w:tc>
          <w:tcPr>
            <w:tcW w:w="7421" w:type="dxa"/>
            <w:vAlign w:val="center"/>
          </w:tcPr>
          <w:p w14:paraId="11C809F3">
            <w:pPr>
              <w:jc w:val="center"/>
              <w:rPr>
                <w:rFonts w:ascii="仿宋_GB2312" w:eastAsia="仿宋_GB2312"/>
              </w:rPr>
            </w:pPr>
            <w:r>
              <w:rPr>
                <w:rFonts w:hint="eastAsia" w:ascii="仿宋_GB2312" w:eastAsia="仿宋_GB2312"/>
              </w:rPr>
              <w:t>1</w:t>
            </w:r>
          </w:p>
        </w:tc>
      </w:tr>
      <w:tr w14:paraId="49358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89DF9B1">
            <w:pPr>
              <w:jc w:val="center"/>
              <w:rPr>
                <w:rFonts w:ascii="仿宋_GB2312" w:eastAsia="仿宋_GB2312"/>
              </w:rPr>
            </w:pPr>
            <w:r>
              <w:rPr>
                <w:rFonts w:hint="eastAsia" w:ascii="仿宋_GB2312" w:eastAsia="仿宋_GB2312"/>
              </w:rPr>
              <w:t>项目名称</w:t>
            </w:r>
          </w:p>
        </w:tc>
        <w:tc>
          <w:tcPr>
            <w:tcW w:w="7421" w:type="dxa"/>
            <w:vAlign w:val="center"/>
          </w:tcPr>
          <w:p w14:paraId="38DE9721">
            <w:pPr>
              <w:jc w:val="center"/>
              <w:rPr>
                <w:rFonts w:ascii="仿宋_GB2312" w:eastAsia="仿宋_GB2312"/>
              </w:rPr>
            </w:pPr>
            <w:r>
              <w:rPr>
                <w:rFonts w:hint="eastAsia" w:ascii="仿宋_GB2312" w:eastAsia="仿宋_GB2312"/>
              </w:rPr>
              <w:t>内蒙古能源集团扎兰屯100万千瓦风储项目南区30万千瓦风储工程</w:t>
            </w:r>
          </w:p>
        </w:tc>
      </w:tr>
      <w:tr w14:paraId="012E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7835A86C">
            <w:pPr>
              <w:jc w:val="center"/>
              <w:rPr>
                <w:rFonts w:ascii="仿宋_GB2312" w:eastAsia="仿宋_GB2312"/>
              </w:rPr>
            </w:pPr>
            <w:r>
              <w:rPr>
                <w:rFonts w:hint="eastAsia" w:ascii="仿宋_GB2312" w:eastAsia="仿宋_GB2312"/>
              </w:rPr>
              <w:t>建设地点</w:t>
            </w:r>
          </w:p>
        </w:tc>
        <w:tc>
          <w:tcPr>
            <w:tcW w:w="7421" w:type="dxa"/>
            <w:vAlign w:val="center"/>
          </w:tcPr>
          <w:p w14:paraId="22504B7D">
            <w:pPr>
              <w:jc w:val="center"/>
              <w:rPr>
                <w:rFonts w:hint="eastAsia" w:ascii="仿宋_GB2312" w:eastAsia="仿宋_GB2312"/>
                <w:lang w:val="en-US" w:eastAsia="zh-CN"/>
              </w:rPr>
            </w:pPr>
            <w:r>
              <w:rPr>
                <w:rFonts w:hint="eastAsia" w:ascii="仿宋_GB2312" w:eastAsia="仿宋_GB2312"/>
                <w:lang w:val="en-US" w:eastAsia="zh-CN"/>
              </w:rPr>
              <w:t>扎兰屯市萨马街鄂温克民族乡、中和镇、蘑菇气镇</w:t>
            </w:r>
          </w:p>
        </w:tc>
      </w:tr>
      <w:tr w14:paraId="393E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28714B94">
            <w:pPr>
              <w:jc w:val="center"/>
              <w:rPr>
                <w:rFonts w:ascii="仿宋_GB2312" w:eastAsia="仿宋_GB2312"/>
              </w:rPr>
            </w:pPr>
            <w:r>
              <w:rPr>
                <w:rFonts w:hint="eastAsia" w:ascii="仿宋_GB2312" w:eastAsia="仿宋_GB2312"/>
              </w:rPr>
              <w:t>建设单位</w:t>
            </w:r>
          </w:p>
        </w:tc>
        <w:tc>
          <w:tcPr>
            <w:tcW w:w="7421" w:type="dxa"/>
            <w:vAlign w:val="center"/>
          </w:tcPr>
          <w:p w14:paraId="7683155C">
            <w:pPr>
              <w:jc w:val="center"/>
              <w:rPr>
                <w:rFonts w:ascii="仿宋_GB2312" w:eastAsia="仿宋_GB2312"/>
              </w:rPr>
            </w:pPr>
            <w:r>
              <w:rPr>
                <w:rFonts w:hint="eastAsia" w:ascii="仿宋_GB2312" w:eastAsia="仿宋_GB2312"/>
              </w:rPr>
              <w:t>扎兰屯蒙能新能源有限公司</w:t>
            </w:r>
          </w:p>
        </w:tc>
      </w:tr>
      <w:tr w14:paraId="0CFD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67D8F957">
            <w:pPr>
              <w:jc w:val="center"/>
              <w:rPr>
                <w:rFonts w:ascii="仿宋_GB2312" w:eastAsia="仿宋_GB2312"/>
              </w:rPr>
            </w:pPr>
            <w:r>
              <w:rPr>
                <w:rFonts w:hint="eastAsia" w:ascii="仿宋_GB2312" w:eastAsia="仿宋_GB2312"/>
              </w:rPr>
              <w:t>环境影响评价机构</w:t>
            </w:r>
          </w:p>
        </w:tc>
        <w:tc>
          <w:tcPr>
            <w:tcW w:w="7421" w:type="dxa"/>
            <w:vAlign w:val="center"/>
          </w:tcPr>
          <w:p w14:paraId="53F0A17D">
            <w:pPr>
              <w:jc w:val="center"/>
              <w:rPr>
                <w:rFonts w:hint="eastAsia" w:ascii="仿宋_GB2312" w:eastAsia="仿宋_GB2312"/>
                <w:lang w:eastAsia="zh-CN"/>
              </w:rPr>
            </w:pPr>
            <w:r>
              <w:rPr>
                <w:rFonts w:hint="eastAsia" w:ascii="仿宋_GB2312" w:eastAsia="仿宋_GB2312"/>
              </w:rPr>
              <w:t>内蒙古领环项目管理有限公</w:t>
            </w:r>
            <w:r>
              <w:rPr>
                <w:rFonts w:hint="eastAsia" w:ascii="仿宋_GB2312" w:eastAsia="仿宋_GB2312"/>
                <w:lang w:eastAsia="zh-CN"/>
              </w:rPr>
              <w:t>司</w:t>
            </w:r>
          </w:p>
        </w:tc>
      </w:tr>
      <w:tr w14:paraId="1473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3EE83105">
            <w:pPr>
              <w:jc w:val="center"/>
              <w:rPr>
                <w:rFonts w:ascii="仿宋_GB2312" w:eastAsia="仿宋_GB2312"/>
              </w:rPr>
            </w:pPr>
            <w:r>
              <w:rPr>
                <w:rFonts w:hint="eastAsia" w:ascii="仿宋_GB2312" w:eastAsia="仿宋_GB2312"/>
              </w:rPr>
              <w:t>项目概况</w:t>
            </w:r>
          </w:p>
        </w:tc>
        <w:tc>
          <w:tcPr>
            <w:tcW w:w="7421" w:type="dxa"/>
            <w:vAlign w:val="center"/>
          </w:tcPr>
          <w:p w14:paraId="5F190E35">
            <w:pPr>
              <w:jc w:val="both"/>
              <w:rPr>
                <w:rFonts w:hint="eastAsia" w:ascii="仿宋_GB2312" w:eastAsia="仿宋_GB2312"/>
                <w:lang w:eastAsia="zh-CN"/>
              </w:rPr>
            </w:pPr>
            <w:r>
              <w:rPr>
                <w:rFonts w:hint="eastAsia" w:ascii="仿宋_GB2312" w:eastAsia="仿宋_GB2312"/>
              </w:rPr>
              <w:t>本项目为内蒙古能源集团扎兰屯市100万千瓦风储项目南区30万千瓦风储工程。项目总装机容量300MW，拟定采用30台单机容量10MW的风电机组，每台风电机组配置一台箱式变压器（采用机舱变形式），配套建设集电线路及施工检修道路等工程</w:t>
            </w:r>
            <w:r>
              <w:rPr>
                <w:rFonts w:hint="eastAsia" w:ascii="仿宋_GB2312" w:eastAsia="仿宋_GB2312"/>
                <w:lang w:eastAsia="zh-CN"/>
              </w:rPr>
              <w:t>。</w:t>
            </w:r>
          </w:p>
        </w:tc>
      </w:tr>
      <w:tr w14:paraId="6DF23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2452603F">
            <w:pPr>
              <w:jc w:val="center"/>
              <w:rPr>
                <w:rFonts w:ascii="仿宋_GB2312" w:eastAsia="仿宋_GB2312"/>
                <w:szCs w:val="21"/>
              </w:rPr>
            </w:pPr>
            <w:r>
              <w:rPr>
                <w:rFonts w:hint="eastAsia" w:ascii="仿宋_GB2312" w:eastAsia="仿宋_GB2312"/>
                <w:szCs w:val="21"/>
              </w:rPr>
              <w:t>主要环境影响及预防或者减轻不良影响的对策措施</w:t>
            </w:r>
          </w:p>
        </w:tc>
        <w:tc>
          <w:tcPr>
            <w:tcW w:w="7421" w:type="dxa"/>
            <w:vAlign w:val="center"/>
          </w:tcPr>
          <w:p w14:paraId="732E57AD">
            <w:pPr>
              <w:widowControl/>
              <w:spacing w:after="156" w:afterLines="50"/>
              <w:jc w:val="left"/>
              <w:rPr>
                <w:rFonts w:ascii="仿宋_GB2312" w:hAnsi="宋体" w:eastAsia="仿宋_GB2312" w:cs="宋体"/>
                <w:color w:val="454545"/>
                <w:kern w:val="0"/>
                <w:szCs w:val="21"/>
              </w:rPr>
            </w:pPr>
          </w:p>
          <w:p w14:paraId="1D379E17">
            <w:pPr>
              <w:widowControl/>
              <w:numPr>
                <w:ilvl w:val="0"/>
                <w:numId w:val="1"/>
              </w:numPr>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生态保护措施。控制施工活动在临时占地范围内，规范施工人员行为及行车路线，严禁越界施工。施工道路、地埋电缆等施工过程采取分层开挖、分层回填方式，剥离表土单独存放并最终用于土地复垦和生态恢复。加强环保宣传教育，严禁随意践踏、碾压施工区范围外的植被，不准乱挖、乱采野生植物，不捕杀野生动物及鸟类。加强对鸟类保护的宣传力度，发现异常鸟撞事件后应及时报告给当地鸟类监测部门，风机叶片采用警示色，加强3〜5月份、9〜11月份鸟类活动路线的观测，若发现有规律的鸟类迁徙活动，应对迁徙路线周边区域风机采取停发等防范措施。生态恢复工作依据土地复垦、生态恢复方案开展。施工结束后及时对临时占地进行生态恢复，营运期对项目所在区域进行生态恢复及生态监测，直至达到周围区域的植被盖度。</w:t>
            </w:r>
            <w:bookmarkStart w:id="0" w:name="_GoBack"/>
            <w:bookmarkEnd w:id="0"/>
          </w:p>
          <w:p w14:paraId="753969B1">
            <w:pPr>
              <w:widowControl/>
              <w:numPr>
                <w:numId w:val="0"/>
              </w:numPr>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二）大气污染防治。施工道路、地埋电缆、吊装场地等施工过程中，表土单独堆放并进行苫盖，施工完毕后及时覆土回填。运输道路、施工场地洒水抑尘，大风天气停止施工。运输散装物料车辆遮盖苫布。采用节能型柴油发电机和优质柴油，加强对工程机械及汽车的管理及保养，确保尾气达标排放。</w:t>
            </w:r>
          </w:p>
          <w:p w14:paraId="534EB745">
            <w:pPr>
              <w:widowControl/>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（三）水环境保护措施。施工废水沉淀后用于施工场地及运输道路洒水抑尘。生活污水排入临时化粪池，定期拉运至扎兰屯市城镇污水处理厂处理。</w:t>
            </w:r>
          </w:p>
          <w:p w14:paraId="190EB473">
            <w:pPr>
              <w:spacing w:after="156" w:afterLines="50"/>
              <w:jc w:val="left"/>
              <w:rPr>
                <w:rFonts w:ascii="仿宋_GB2312" w:hAnsi="宋体" w:eastAsia="仿宋_GB2312" w:cs="宋体"/>
                <w:color w:val="454545"/>
                <w:kern w:val="0"/>
                <w:szCs w:val="21"/>
              </w:rPr>
            </w:pPr>
            <w:r>
              <w:rPr>
                <w:rFonts w:hint="eastAsia" w:ascii="仿宋_GB2312" w:hAnsi="宋体" w:eastAsia="仿宋_GB2312" w:cs="宋体"/>
                <w:color w:val="454545"/>
                <w:kern w:val="0"/>
                <w:szCs w:val="21"/>
              </w:rPr>
              <w:t>（四）噪声控制措施。加强对设备的维护和保养，减少高噪声设备同时运行，合理安排施工时间，禁止夜间施工和检修。风机叶片采用尾缘锯齿形式降噪，风机基础减震，塔筒保温隔声。车辆途经敏感点时减速慢行、禁止鸣笛，降低对敏感点的影响。</w:t>
            </w:r>
          </w:p>
          <w:p w14:paraId="2C92B6DC">
            <w:pPr>
              <w:spacing w:after="156" w:afterLines="50"/>
              <w:jc w:val="left"/>
              <w:rPr>
                <w:rFonts w:hint="eastAsia" w:ascii="仿宋_GB2312" w:hAnsi="宋体" w:eastAsia="仿宋_GB2312" w:cs="宋体"/>
                <w:color w:val="454545"/>
                <w:kern w:val="0"/>
                <w:szCs w:val="21"/>
              </w:rPr>
            </w:pPr>
            <w:r>
              <w:rPr>
                <w:rFonts w:hint="eastAsia" w:ascii="仿宋_GB2312" w:hAnsi="宋体" w:eastAsia="仿宋_GB2312" w:cs="宋体"/>
                <w:color w:val="454545"/>
                <w:kern w:val="0"/>
                <w:szCs w:val="21"/>
              </w:rPr>
              <w:t>（五）固体废物污染防治措施。施工开挖的土石方用于场内施工道路、吊装场地平整。建筑垃圾清运至市政部门指定地点处置，生活垃圾经收集后清运至扎兰屯市生活垃圾填埋场。废机油、废铅蓄电池暂存于危废暂存间内，定期委托有资质的单位处置。危险废物的收集、暂存、管理、转运按照《危险废物贮存污染控制标准》（GB18597-2023）及相关要求进行管理。废风机叶片委托有资质单位处置，未经允许，禁止在风电场现场随意切割、填埋、拉运报废风机叶片。</w:t>
            </w:r>
          </w:p>
          <w:p w14:paraId="4D4E5D0E">
            <w:pPr>
              <w:spacing w:after="156" w:afterLines="50"/>
              <w:jc w:val="left"/>
              <w:rPr>
                <w:rFonts w:hint="eastAsia" w:ascii="仿宋_GB2312" w:eastAsia="仿宋_GB2312"/>
                <w:szCs w:val="21"/>
                <w:lang w:eastAsia="zh-CN"/>
              </w:rPr>
            </w:pPr>
            <w:r>
              <w:rPr>
                <w:rFonts w:hint="eastAsia" w:ascii="仿宋_GB2312" w:hAnsi="宋体" w:eastAsia="仿宋_GB2312" w:cs="宋体"/>
                <w:color w:val="454545"/>
                <w:kern w:val="0"/>
                <w:szCs w:val="21"/>
              </w:rPr>
              <w:t>（六）其他。制定突发环境事件应急预案并到生态环境部门备案，按应急预案要求配备应急物资，按照主管部门的相关要求组织开展突发环境事件应急演练。制定监测</w:t>
            </w:r>
            <w:r>
              <w:rPr>
                <w:rFonts w:hint="eastAsia" w:ascii="仿宋_GB2312" w:hAnsi="宋体" w:eastAsia="仿宋_GB2312" w:cs="宋体"/>
                <w:color w:val="454545"/>
                <w:kern w:val="0"/>
                <w:szCs w:val="21"/>
                <w:lang w:eastAsia="zh-CN"/>
              </w:rPr>
              <w:t>计划并定期进行监测。</w:t>
            </w:r>
          </w:p>
        </w:tc>
      </w:tr>
      <w:tr w14:paraId="618DF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753875E">
            <w:pPr>
              <w:jc w:val="center"/>
              <w:rPr>
                <w:rFonts w:ascii="仿宋_GB2312" w:eastAsia="仿宋_GB2312"/>
                <w:szCs w:val="21"/>
              </w:rPr>
            </w:pPr>
            <w:r>
              <w:rPr>
                <w:rFonts w:hint="eastAsia" w:ascii="仿宋_GB2312" w:eastAsia="仿宋_GB2312"/>
                <w:szCs w:val="21"/>
              </w:rPr>
              <w:t>公众参与</w:t>
            </w:r>
          </w:p>
        </w:tc>
        <w:tc>
          <w:tcPr>
            <w:tcW w:w="7421" w:type="dxa"/>
            <w:vAlign w:val="center"/>
          </w:tcPr>
          <w:p w14:paraId="2A9D63EB">
            <w:pPr>
              <w:ind w:firstLine="210" w:firstLineChars="100"/>
              <w:jc w:val="left"/>
              <w:rPr>
                <w:rFonts w:hint="eastAsia" w:ascii="仿宋_GB2312" w:eastAsia="仿宋_GB2312"/>
                <w:szCs w:val="21"/>
              </w:rPr>
            </w:pPr>
            <w:r>
              <w:rPr>
                <w:rFonts w:hint="eastAsia" w:ascii="仿宋_GB2312" w:eastAsia="仿宋_GB2312"/>
                <w:szCs w:val="21"/>
              </w:rPr>
              <w:t>2025年4月4日第一次公示</w:t>
            </w:r>
            <w:r>
              <w:rPr>
                <w:rFonts w:hint="eastAsia" w:ascii="仿宋_GB2312" w:eastAsia="仿宋_GB2312"/>
                <w:szCs w:val="21"/>
                <w:lang w:eastAsia="zh-CN"/>
              </w:rPr>
              <w:t>，</w:t>
            </w:r>
            <w:r>
              <w:rPr>
                <w:rFonts w:hint="eastAsia" w:ascii="仿宋_GB2312" w:eastAsia="仿宋_GB2312"/>
                <w:szCs w:val="21"/>
              </w:rPr>
              <w:t>在《环境影响评价信息公示平台》进行公开，公示内容为《内蒙古能源集团扎兰屯100万千瓦风储项目南区30万千瓦风储工程环境影响评价第一次公示》</w:t>
            </w:r>
            <w:r>
              <w:rPr>
                <w:rFonts w:hint="eastAsia" w:ascii="仿宋_GB2312" w:eastAsia="仿宋_GB2312"/>
                <w:szCs w:val="21"/>
                <w:lang w:eastAsia="zh-CN"/>
              </w:rPr>
              <w:t>，</w:t>
            </w:r>
            <w:r>
              <w:rPr>
                <w:rFonts w:hint="eastAsia" w:ascii="仿宋_GB2312" w:eastAsia="仿宋_GB2312"/>
                <w:szCs w:val="21"/>
              </w:rPr>
              <w:t>公示期间未受到任何单位及个人的反馈意见。</w:t>
            </w:r>
          </w:p>
          <w:p w14:paraId="65EB66E2">
            <w:pPr>
              <w:ind w:firstLine="210" w:firstLineChars="100"/>
              <w:jc w:val="left"/>
              <w:rPr>
                <w:rFonts w:ascii="仿宋_GB2312" w:eastAsia="仿宋_GB2312"/>
                <w:szCs w:val="21"/>
              </w:rPr>
            </w:pPr>
            <w:r>
              <w:rPr>
                <w:rFonts w:hint="eastAsia" w:ascii="仿宋_GB2312" w:eastAsia="仿宋_GB2312"/>
                <w:szCs w:val="21"/>
              </w:rPr>
              <w:t>第二次</w:t>
            </w:r>
            <w:r>
              <w:rPr>
                <w:rFonts w:hint="eastAsia" w:ascii="仿宋_GB2312" w:eastAsia="仿宋_GB2312"/>
                <w:szCs w:val="21"/>
                <w:lang w:eastAsia="zh-CN"/>
              </w:rPr>
              <w:t>公示</w:t>
            </w:r>
            <w:r>
              <w:rPr>
                <w:rFonts w:hint="eastAsia" w:ascii="仿宋_GB2312" w:eastAsia="仿宋_GB2312"/>
                <w:szCs w:val="21"/>
              </w:rPr>
              <w:t>采用三种方式进行公开：</w:t>
            </w:r>
            <w:r>
              <w:rPr>
                <w:rFonts w:hint="eastAsia" w:ascii="仿宋_GB2312" w:eastAsia="仿宋_GB2312"/>
                <w:szCs w:val="21"/>
                <w:lang w:eastAsia="zh-CN"/>
              </w:rPr>
              <w:t>一</w:t>
            </w:r>
            <w:r>
              <w:rPr>
                <w:rFonts w:hint="eastAsia" w:ascii="仿宋_GB2312" w:eastAsia="仿宋_GB2312"/>
                <w:szCs w:val="21"/>
              </w:rPr>
              <w:t>是在《环境影响评价信息公示平台》公示</w:t>
            </w:r>
            <w:r>
              <w:rPr>
                <w:rFonts w:hint="eastAsia" w:ascii="仿宋_GB2312" w:eastAsia="仿宋_GB2312"/>
                <w:szCs w:val="21"/>
                <w:lang w:eastAsia="zh-CN"/>
              </w:rPr>
              <w:t>拟建项目环评报告书征求意见稿</w:t>
            </w:r>
            <w:r>
              <w:rPr>
                <w:rFonts w:hint="eastAsia" w:ascii="仿宋_GB2312" w:eastAsia="仿宋_GB2312"/>
                <w:szCs w:val="21"/>
              </w:rPr>
              <w:t>，</w:t>
            </w:r>
            <w:r>
              <w:rPr>
                <w:rFonts w:hint="eastAsia" w:ascii="仿宋_GB2312" w:eastAsia="仿宋_GB2312"/>
                <w:szCs w:val="21"/>
                <w:lang w:eastAsia="zh-CN"/>
              </w:rPr>
              <w:t>时间为</w:t>
            </w:r>
            <w:r>
              <w:rPr>
                <w:rFonts w:hint="eastAsia" w:ascii="仿宋_GB2312" w:eastAsia="仿宋_GB2312"/>
                <w:szCs w:val="21"/>
              </w:rPr>
              <w:t>2025年4月14日至2025年4月25日</w:t>
            </w:r>
            <w:r>
              <w:rPr>
                <w:rFonts w:hint="eastAsia" w:ascii="仿宋_GB2312" w:eastAsia="仿宋_GB2312"/>
                <w:szCs w:val="21"/>
                <w:lang w:eastAsia="zh-CN"/>
              </w:rPr>
              <w:t>，</w:t>
            </w:r>
            <w:r>
              <w:rPr>
                <w:rFonts w:hint="eastAsia" w:ascii="仿宋_GB2312" w:eastAsia="仿宋_GB2312"/>
                <w:szCs w:val="21"/>
              </w:rPr>
              <w:t>公示内容为《内蒙古能源集团扎兰屯100万千瓦风储项目南区30万千瓦风储工程环境影响评价征求意见稿公示》；</w:t>
            </w:r>
            <w:r>
              <w:rPr>
                <w:rFonts w:hint="eastAsia" w:ascii="仿宋_GB2312" w:eastAsia="仿宋_GB2312"/>
                <w:szCs w:val="21"/>
                <w:lang w:eastAsia="zh-CN"/>
              </w:rPr>
              <w:t>二</w:t>
            </w:r>
            <w:r>
              <w:rPr>
                <w:rFonts w:hint="eastAsia" w:ascii="仿宋_GB2312" w:eastAsia="仿宋_GB2312"/>
                <w:szCs w:val="21"/>
              </w:rPr>
              <w:t>是通过</w:t>
            </w:r>
            <w:r>
              <w:rPr>
                <w:rFonts w:hint="eastAsia" w:ascii="仿宋_GB2312" w:eastAsia="仿宋_GB2312"/>
                <w:szCs w:val="21"/>
                <w:lang w:eastAsia="zh-CN"/>
              </w:rPr>
              <w:t>《北方新报》</w:t>
            </w:r>
            <w:r>
              <w:rPr>
                <w:rFonts w:hint="eastAsia" w:ascii="仿宋_GB2312" w:eastAsia="仿宋_GB2312"/>
                <w:szCs w:val="21"/>
              </w:rPr>
              <w:t>公示，10个工作日内共公示两次，日期分别为2025年4月23日和2025年4月24日；</w:t>
            </w:r>
            <w:r>
              <w:rPr>
                <w:rFonts w:hint="eastAsia" w:ascii="仿宋_GB2312" w:eastAsia="仿宋_GB2312"/>
                <w:szCs w:val="21"/>
                <w:lang w:eastAsia="zh-CN"/>
              </w:rPr>
              <w:t>三</w:t>
            </w:r>
            <w:r>
              <w:rPr>
                <w:rFonts w:hint="eastAsia" w:ascii="仿宋_GB2312" w:eastAsia="仿宋_GB2312"/>
                <w:szCs w:val="21"/>
              </w:rPr>
              <w:t>是通过建设项目所在地所涉及乡镇的公示栏以张贴公告的形式进行了公示，公开日期为2025年4月14日至2025年4月25日，公示期间未收到任何单位及个人的反馈意见。</w:t>
            </w:r>
          </w:p>
        </w:tc>
      </w:tr>
    </w:tbl>
    <w:p w14:paraId="4A89311B"/>
    <w:p w14:paraId="40EA5CBC">
      <w:pPr>
        <w:rPr>
          <w:rFonts w:hint="eastAsia" w:ascii="黑体" w:hAnsi="黑体" w:eastAsia="黑体"/>
          <w:b/>
        </w:rPr>
      </w:pPr>
    </w:p>
    <w:p w14:paraId="2F86472A">
      <w:pPr>
        <w:rPr>
          <w:rFonts w:hint="eastAsia" w:ascii="黑体" w:hAnsi="黑体" w:eastAsia="黑体"/>
          <w:b/>
        </w:rPr>
      </w:pPr>
    </w:p>
    <w:p w14:paraId="6DDA6576">
      <w:pPr>
        <w:rPr>
          <w:rFonts w:hint="eastAsia" w:ascii="黑体" w:hAnsi="黑体" w:eastAsia="黑体"/>
          <w:b/>
        </w:rPr>
      </w:pPr>
    </w:p>
    <w:p w14:paraId="5F6FF09B">
      <w:pPr>
        <w:rPr>
          <w:rFonts w:hint="eastAsia" w:ascii="黑体" w:hAnsi="黑体" w:eastAsia="黑体"/>
          <w:b/>
        </w:rPr>
      </w:pPr>
    </w:p>
    <w:p w14:paraId="7DDBF19E">
      <w:pPr>
        <w:rPr>
          <w:rFonts w:hint="eastAsia" w:ascii="黑体" w:hAnsi="黑体" w:eastAsia="黑体"/>
          <w:b/>
        </w:rPr>
      </w:pPr>
    </w:p>
    <w:p w14:paraId="165603B9">
      <w:pPr>
        <w:rPr>
          <w:rFonts w:hint="eastAsia" w:ascii="黑体" w:hAnsi="黑体" w:eastAsia="黑体"/>
          <w:b/>
        </w:rPr>
      </w:pPr>
    </w:p>
    <w:p w14:paraId="27B08211">
      <w:pPr>
        <w:rPr>
          <w:rFonts w:hint="eastAsia" w:ascii="黑体" w:hAnsi="黑体" w:eastAsia="黑体"/>
          <w:b/>
        </w:rPr>
      </w:pPr>
    </w:p>
    <w:p w14:paraId="1927305E">
      <w:pPr>
        <w:rPr>
          <w:rFonts w:hint="eastAsia" w:ascii="黑体" w:hAnsi="黑体" w:eastAsia="黑体"/>
          <w:b/>
        </w:rPr>
      </w:pPr>
    </w:p>
    <w:p w14:paraId="7AA9ED9D">
      <w:pPr>
        <w:rPr>
          <w:rFonts w:hint="eastAsia" w:ascii="黑体" w:hAnsi="黑体" w:eastAsia="黑体"/>
          <w:b/>
        </w:rPr>
      </w:pPr>
    </w:p>
    <w:p w14:paraId="32C2D7A8">
      <w:pPr>
        <w:rPr>
          <w:rFonts w:hint="eastAsia" w:ascii="黑体" w:hAnsi="黑体" w:eastAsia="黑体"/>
          <w:b/>
        </w:rPr>
      </w:pPr>
    </w:p>
    <w:p w14:paraId="24065F94">
      <w:pPr>
        <w:rPr>
          <w:rFonts w:hint="eastAsia" w:ascii="黑体" w:hAnsi="黑体" w:eastAsia="黑体"/>
          <w:b/>
        </w:rPr>
      </w:pPr>
    </w:p>
    <w:p w14:paraId="3D8A9F15">
      <w:pPr>
        <w:rPr>
          <w:rFonts w:hint="eastAsia" w:ascii="黑体" w:hAnsi="黑体" w:eastAsia="黑体"/>
          <w:b/>
        </w:rPr>
      </w:pPr>
    </w:p>
    <w:p w14:paraId="0E621273">
      <w:pPr>
        <w:rPr>
          <w:rFonts w:hint="eastAsia" w:ascii="黑体" w:hAnsi="黑体" w:eastAsia="黑体"/>
          <w:b/>
        </w:rPr>
      </w:pPr>
    </w:p>
    <w:p w14:paraId="4F4D6FA8">
      <w:pPr>
        <w:rPr>
          <w:rFonts w:hint="eastAsia" w:ascii="黑体" w:hAnsi="黑体" w:eastAsia="黑体"/>
          <w:b/>
        </w:rPr>
      </w:pPr>
    </w:p>
    <w:p w14:paraId="677D78E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fixed"/>
    <w:sig w:usb0="00000001" w:usb1="080E0000" w:usb2="00000000" w:usb3="00000000" w:csb0="00040000" w:csb1="00000000"/>
  </w:font>
  <w:font w:name="@宋体">
    <w:panose1 w:val="02010600030101010101"/>
    <w:charset w:val="86"/>
    <w:family w:val="auto"/>
    <w:pitch w:val="variable"/>
    <w:sig w:usb0="000000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378F9B"/>
    <w:multiLevelType w:val="singleLevel"/>
    <w:tmpl w:val="E0378F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ACB"/>
    <w:rsid w:val="00114BF3"/>
    <w:rsid w:val="0013449A"/>
    <w:rsid w:val="00183EF4"/>
    <w:rsid w:val="0020775F"/>
    <w:rsid w:val="003B3CE7"/>
    <w:rsid w:val="004059B1"/>
    <w:rsid w:val="00457CBD"/>
    <w:rsid w:val="00505639"/>
    <w:rsid w:val="006B3C8B"/>
    <w:rsid w:val="0075505E"/>
    <w:rsid w:val="008234F3"/>
    <w:rsid w:val="00882FA0"/>
    <w:rsid w:val="008959A2"/>
    <w:rsid w:val="008C21A0"/>
    <w:rsid w:val="008C6ACB"/>
    <w:rsid w:val="008F4ADE"/>
    <w:rsid w:val="00A84665"/>
    <w:rsid w:val="00B23B19"/>
    <w:rsid w:val="00BA0DC3"/>
    <w:rsid w:val="00C41D8F"/>
    <w:rsid w:val="00DB5247"/>
    <w:rsid w:val="00F55727"/>
    <w:rsid w:val="184F482E"/>
    <w:rsid w:val="35D67E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2">
    <w:name w:val="Normal Table"/>
    <w:semiHidden/>
    <w:unhideWhenUsed/>
    <w:uiPriority w:val="99"/>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MS</Company>
  <Pages>2</Pages>
  <Words>1520</Words>
  <Characters>1603</Characters>
  <Lines>47</Lines>
  <Paragraphs>13</Paragraphs>
  <TotalTime>17</TotalTime>
  <ScaleCrop>false</ScaleCrop>
  <LinksUpToDate>false</LinksUpToDate>
  <CharactersWithSpaces>1603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2024-06-05T01:27:00Z</dcterms:created>
  <dc:creator>张雪丹(拟稿)</dc:creator>
  <cp:lastModifiedBy>张三儿⁉️</cp:lastModifiedBy>
  <dcterms:modified xsi:type="dcterms:W3CDTF">2025-07-23T07:39:35Z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eyJoZGlkIjoiZjg5ODA4MWYzZDY0ZDU1ODk2YTA1OWRkMzI4MGM0YmMiLCJ1c2VySWQiOiI0NTk5NjY4OTAifQ==</vt:lpwstr>
  </property>
  <property fmtid="{D5CDD505-2E9C-101B-9397-08002B2CF9AE}" pid="3" name="KSOProductBuildVer">
    <vt:lpwstr>2052-12.1.0.21915</vt:lpwstr>
  </property>
  <property fmtid="{D5CDD505-2E9C-101B-9397-08002B2CF9AE}" pid="4" name="ICV">
    <vt:lpwstr>A7848796426F467F89B0E9C6ED7EEEC6_12</vt:lpwstr>
  </property>
</Properties>
</file>