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DBA758">
      <w:pPr>
        <w:rPr>
          <w:rFonts w:ascii="黑体" w:hAnsi="黑体" w:eastAsia="黑体"/>
          <w:b/>
        </w:rPr>
      </w:pPr>
      <w:r>
        <w:rPr>
          <w:rFonts w:hint="eastAsia" w:ascii="黑体" w:hAnsi="黑体" w:eastAsia="黑体"/>
          <w:b/>
        </w:rPr>
        <w:t>一、内蒙古金山矿业有限公司3000t/d选矿技改项目环境影响报告书</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7421"/>
      </w:tblGrid>
      <w:tr w14:paraId="09E12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0E8AB749">
            <w:pPr>
              <w:jc w:val="center"/>
              <w:rPr>
                <w:rFonts w:hint="eastAsia" w:ascii="仿宋_GB2312" w:eastAsia="仿宋_GB2312"/>
                <w:szCs w:val="21"/>
              </w:rPr>
            </w:pPr>
            <w:r>
              <w:rPr>
                <w:rFonts w:hint="eastAsia" w:ascii="仿宋_GB2312" w:eastAsia="仿宋_GB2312"/>
                <w:szCs w:val="21"/>
              </w:rPr>
              <w:t>序号</w:t>
            </w:r>
          </w:p>
        </w:tc>
        <w:tc>
          <w:tcPr>
            <w:tcW w:w="7421" w:type="dxa"/>
            <w:vAlign w:val="center"/>
          </w:tcPr>
          <w:p w14:paraId="11C809F3">
            <w:pPr>
              <w:jc w:val="center"/>
              <w:rPr>
                <w:rFonts w:hint="eastAsia" w:ascii="仿宋_GB2312" w:eastAsia="仿宋_GB2312"/>
                <w:szCs w:val="21"/>
              </w:rPr>
            </w:pPr>
            <w:r>
              <w:rPr>
                <w:rFonts w:hint="eastAsia" w:ascii="仿宋_GB2312" w:eastAsia="仿宋_GB2312"/>
                <w:szCs w:val="21"/>
              </w:rPr>
              <w:t>1</w:t>
            </w:r>
          </w:p>
        </w:tc>
      </w:tr>
      <w:tr w14:paraId="49358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589DF9B1">
            <w:pPr>
              <w:jc w:val="center"/>
              <w:rPr>
                <w:rFonts w:hint="eastAsia" w:ascii="仿宋_GB2312" w:eastAsia="仿宋_GB2312"/>
                <w:szCs w:val="21"/>
              </w:rPr>
            </w:pPr>
            <w:r>
              <w:rPr>
                <w:rFonts w:hint="eastAsia" w:ascii="仿宋_GB2312" w:eastAsia="仿宋_GB2312"/>
                <w:szCs w:val="21"/>
              </w:rPr>
              <w:t>项目名称</w:t>
            </w:r>
          </w:p>
        </w:tc>
        <w:tc>
          <w:tcPr>
            <w:tcW w:w="7421" w:type="dxa"/>
            <w:vAlign w:val="center"/>
          </w:tcPr>
          <w:p w14:paraId="38DE9721">
            <w:pPr>
              <w:jc w:val="center"/>
              <w:rPr>
                <w:rFonts w:hint="eastAsia" w:ascii="仿宋_GB2312" w:eastAsia="仿宋_GB2312"/>
                <w:szCs w:val="21"/>
              </w:rPr>
            </w:pPr>
            <w:r>
              <w:rPr>
                <w:rFonts w:hint="eastAsia" w:ascii="仿宋_GB2312" w:hAnsi="Times New Roman" w:eastAsia="仿宋_GB2312"/>
                <w:bCs/>
                <w:szCs w:val="21"/>
              </w:rPr>
              <w:t>内蒙古金山矿业有限公司3000t/d选矿技改项目</w:t>
            </w:r>
          </w:p>
        </w:tc>
      </w:tr>
      <w:tr w14:paraId="012E6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7835A86C">
            <w:pPr>
              <w:jc w:val="center"/>
              <w:rPr>
                <w:rFonts w:hint="eastAsia" w:ascii="仿宋_GB2312" w:eastAsia="仿宋_GB2312"/>
                <w:szCs w:val="21"/>
              </w:rPr>
            </w:pPr>
            <w:r>
              <w:rPr>
                <w:rFonts w:hint="eastAsia" w:ascii="仿宋_GB2312" w:eastAsia="仿宋_GB2312"/>
                <w:szCs w:val="21"/>
              </w:rPr>
              <w:t>建设地点</w:t>
            </w:r>
          </w:p>
        </w:tc>
        <w:tc>
          <w:tcPr>
            <w:tcW w:w="7421" w:type="dxa"/>
            <w:vAlign w:val="center"/>
          </w:tcPr>
          <w:p w14:paraId="22504B7D">
            <w:pPr>
              <w:jc w:val="center"/>
              <w:rPr>
                <w:rFonts w:hint="eastAsia" w:ascii="仿宋_GB2312" w:eastAsia="仿宋_GB2312"/>
                <w:szCs w:val="21"/>
              </w:rPr>
            </w:pPr>
            <w:r>
              <w:rPr>
                <w:rFonts w:hint="eastAsia" w:ascii="仿宋_GB2312" w:eastAsia="仿宋_GB2312"/>
                <w:szCs w:val="21"/>
              </w:rPr>
              <w:t>新巴尔虎右旗克尔伦苏木</w:t>
            </w:r>
          </w:p>
        </w:tc>
      </w:tr>
      <w:tr w14:paraId="393E6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28714B94">
            <w:pPr>
              <w:jc w:val="center"/>
              <w:rPr>
                <w:rFonts w:hint="eastAsia" w:ascii="仿宋_GB2312" w:eastAsia="仿宋_GB2312"/>
                <w:szCs w:val="21"/>
              </w:rPr>
            </w:pPr>
            <w:r>
              <w:rPr>
                <w:rFonts w:hint="eastAsia" w:ascii="仿宋_GB2312" w:eastAsia="仿宋_GB2312"/>
                <w:szCs w:val="21"/>
              </w:rPr>
              <w:t>建设单位</w:t>
            </w:r>
          </w:p>
        </w:tc>
        <w:tc>
          <w:tcPr>
            <w:tcW w:w="7421" w:type="dxa"/>
            <w:vAlign w:val="center"/>
          </w:tcPr>
          <w:p w14:paraId="7683155C">
            <w:pPr>
              <w:jc w:val="center"/>
              <w:rPr>
                <w:rFonts w:hint="eastAsia" w:ascii="仿宋_GB2312" w:eastAsia="仿宋_GB2312"/>
                <w:szCs w:val="21"/>
              </w:rPr>
            </w:pPr>
            <w:r>
              <w:rPr>
                <w:rFonts w:hint="eastAsia" w:ascii="仿宋_GB2312" w:eastAsia="仿宋_GB2312"/>
                <w:szCs w:val="21"/>
              </w:rPr>
              <w:t>内蒙古金山矿业有限公司</w:t>
            </w:r>
          </w:p>
        </w:tc>
      </w:tr>
      <w:tr w14:paraId="0CFDE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67D8F957">
            <w:pPr>
              <w:jc w:val="center"/>
              <w:rPr>
                <w:rFonts w:hint="eastAsia" w:ascii="仿宋_GB2312" w:eastAsia="仿宋_GB2312"/>
                <w:szCs w:val="21"/>
              </w:rPr>
            </w:pPr>
            <w:r>
              <w:rPr>
                <w:rFonts w:hint="eastAsia" w:ascii="仿宋_GB2312" w:eastAsia="仿宋_GB2312"/>
                <w:szCs w:val="21"/>
              </w:rPr>
              <w:t>环境影响评价机构</w:t>
            </w:r>
          </w:p>
        </w:tc>
        <w:tc>
          <w:tcPr>
            <w:tcW w:w="7421" w:type="dxa"/>
            <w:vAlign w:val="center"/>
          </w:tcPr>
          <w:p w14:paraId="53F0A17D">
            <w:pPr>
              <w:jc w:val="center"/>
              <w:rPr>
                <w:rFonts w:hint="eastAsia" w:ascii="仿宋_GB2312" w:eastAsia="仿宋_GB2312"/>
                <w:szCs w:val="21"/>
              </w:rPr>
            </w:pPr>
            <w:r>
              <w:rPr>
                <w:rFonts w:hint="eastAsia" w:ascii="仿宋_GB2312" w:eastAsia="仿宋_GB2312"/>
                <w:szCs w:val="21"/>
              </w:rPr>
              <w:t>巴彦淖尔市嘉境环保有限公司</w:t>
            </w:r>
          </w:p>
        </w:tc>
      </w:tr>
      <w:tr w14:paraId="14737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3EE83105">
            <w:pPr>
              <w:jc w:val="center"/>
              <w:rPr>
                <w:rFonts w:hint="eastAsia" w:ascii="仿宋_GB2312" w:eastAsia="仿宋_GB2312"/>
                <w:szCs w:val="21"/>
              </w:rPr>
            </w:pPr>
            <w:r>
              <w:rPr>
                <w:rFonts w:hint="eastAsia" w:ascii="仿宋_GB2312" w:eastAsia="仿宋_GB2312"/>
                <w:szCs w:val="21"/>
              </w:rPr>
              <w:t>项目概况</w:t>
            </w:r>
          </w:p>
        </w:tc>
        <w:tc>
          <w:tcPr>
            <w:tcW w:w="7421" w:type="dxa"/>
            <w:vAlign w:val="center"/>
          </w:tcPr>
          <w:p w14:paraId="5F190E35">
            <w:pPr>
              <w:ind w:firstLine="420" w:firstLineChars="200"/>
              <w:rPr>
                <w:rFonts w:hint="eastAsia" w:ascii="仿宋_GB2312" w:eastAsia="仿宋_GB2312"/>
                <w:szCs w:val="21"/>
              </w:rPr>
            </w:pPr>
            <w:r>
              <w:rPr>
                <w:rFonts w:hint="eastAsia" w:ascii="仿宋_GB2312" w:eastAsia="仿宋_GB2312"/>
                <w:szCs w:val="21"/>
              </w:rPr>
              <w:t>现有矿山采矿生产能力48万吨/年，选矿生产能力54万吨/年（3000吨/天）。项目仅对现有选厂进行技术改造，将原浸出、置换车间改为浮选车间，球磨车间新增选矿设备，将原设计的两段闭路磨矿改为一段闭路磨矿，现有采矿工程、尾矿库、污水站等工程均无变化，项目无新增占地。</w:t>
            </w:r>
          </w:p>
        </w:tc>
      </w:tr>
      <w:tr w14:paraId="6DF23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2452603F">
            <w:pPr>
              <w:jc w:val="center"/>
              <w:rPr>
                <w:rFonts w:hint="eastAsia" w:ascii="仿宋_GB2312" w:eastAsia="仿宋_GB2312"/>
                <w:szCs w:val="21"/>
              </w:rPr>
            </w:pPr>
            <w:r>
              <w:rPr>
                <w:rFonts w:hint="eastAsia" w:ascii="仿宋_GB2312" w:eastAsia="仿宋_GB2312"/>
                <w:szCs w:val="21"/>
              </w:rPr>
              <w:t>主要环境影响及预防或者减轻不良影响的对策措施</w:t>
            </w:r>
          </w:p>
        </w:tc>
        <w:tc>
          <w:tcPr>
            <w:tcW w:w="7421" w:type="dxa"/>
            <w:vAlign w:val="center"/>
          </w:tcPr>
          <w:p w14:paraId="753969B1">
            <w:pPr>
              <w:widowControl/>
              <w:spacing w:after="156" w:afterLines="50"/>
              <w:jc w:val="left"/>
              <w:rPr>
                <w:rFonts w:hint="eastAsia" w:ascii="仿宋_GB2312" w:hAnsi="宋体" w:eastAsia="仿宋_GB2312" w:cs="宋体"/>
                <w:color w:val="454545"/>
                <w:kern w:val="0"/>
                <w:szCs w:val="21"/>
              </w:rPr>
            </w:pPr>
            <w:r>
              <w:rPr>
                <w:rFonts w:hint="eastAsia" w:ascii="仿宋_GB2312" w:hAnsi="宋体" w:eastAsia="仿宋_GB2312" w:cs="宋体"/>
                <w:color w:val="454545"/>
                <w:kern w:val="0"/>
                <w:szCs w:val="21"/>
              </w:rPr>
              <w:t>（一）大气污染防治。运输道路洒水降尘。加强非道路工程机械及汽车的管理及保养，确保尾气达标排放。散装物料在堆存和运输时遮盖苫布。粗碎车间、转运廊道全封闭，给矿车间、破碎车间及粉矿仓粉尘经滤筒式除尘器处理后由15m高排气筒排放，原矿堆场采取洒水、苫盖、设置防风抑尘网等措施降尘，确保污染物达标排放。</w:t>
            </w:r>
          </w:p>
          <w:p w14:paraId="534EB745">
            <w:pPr>
              <w:widowControl/>
              <w:spacing w:after="156" w:afterLines="50"/>
              <w:jc w:val="left"/>
              <w:rPr>
                <w:rFonts w:hint="eastAsia" w:ascii="仿宋_GB2312" w:hAnsi="宋体" w:eastAsia="仿宋_GB2312" w:cs="宋体"/>
                <w:color w:val="454545"/>
                <w:kern w:val="0"/>
                <w:szCs w:val="21"/>
              </w:rPr>
            </w:pPr>
            <w:r>
              <w:rPr>
                <w:rFonts w:hint="eastAsia" w:ascii="仿宋_GB2312" w:hAnsi="宋体" w:eastAsia="仿宋_GB2312" w:cs="宋体"/>
                <w:color w:val="454545"/>
                <w:kern w:val="0"/>
                <w:szCs w:val="21"/>
              </w:rPr>
              <w:t>（二）水环境保护措施。施工期生活污水依托现有处理站处理后回用，施工废水沉淀后回用。重选精矿、浮选精矿和尾矿在脱水压滤过程产生的废水全部回输至回水池后用于选矿，不外排。生活污水经污水处理站处理达标后用于绿化、降尘，不外排。</w:t>
            </w:r>
          </w:p>
          <w:p w14:paraId="6B1B3CE8">
            <w:pPr>
              <w:spacing w:after="156" w:afterLines="50"/>
              <w:jc w:val="left"/>
              <w:rPr>
                <w:rFonts w:hint="eastAsia" w:ascii="仿宋_GB2312" w:hAnsi="宋体" w:eastAsia="仿宋_GB2312" w:cs="宋体"/>
                <w:color w:val="454545"/>
                <w:kern w:val="0"/>
                <w:szCs w:val="21"/>
              </w:rPr>
            </w:pPr>
            <w:r>
              <w:rPr>
                <w:rFonts w:hint="eastAsia" w:ascii="仿宋_GB2312" w:hAnsi="宋体" w:eastAsia="仿宋_GB2312" w:cs="宋体"/>
                <w:color w:val="454545"/>
                <w:kern w:val="0"/>
                <w:szCs w:val="21"/>
              </w:rPr>
              <w:t>（三）噪声控制措施。选用低噪声设备，采取封闭、减震、降噪等措施确保厂界噪声达标。</w:t>
            </w:r>
          </w:p>
          <w:p w14:paraId="692A443C">
            <w:pPr>
              <w:spacing w:after="156" w:afterLines="50"/>
              <w:jc w:val="left"/>
              <w:rPr>
                <w:rFonts w:hint="eastAsia" w:ascii="仿宋_GB2312" w:hAnsi="宋体" w:eastAsia="仿宋_GB2312" w:cs="宋体"/>
                <w:color w:val="454545"/>
                <w:kern w:val="0"/>
                <w:szCs w:val="21"/>
              </w:rPr>
            </w:pPr>
            <w:r>
              <w:rPr>
                <w:rFonts w:hint="eastAsia" w:ascii="仿宋_GB2312" w:hAnsi="宋体" w:eastAsia="仿宋_GB2312" w:cs="宋体"/>
                <w:color w:val="454545"/>
                <w:kern w:val="0"/>
                <w:szCs w:val="21"/>
              </w:rPr>
              <w:t>（四）固体废物污染防治措施。建筑垃圾按照城建部门要求妥善处置，生活垃圾收集后交环卫部门处置。除尘器下灰收集后返回粉矿仓回用于选矿工艺，不外排。尾矿浆脱水后经廊道送至尾矿库。废矿物油暂存于危废库内，定期交有资质单位处置。危险废物的收集、暂存、管理、转运按照《危险废物贮存污染控制标准》（GB18597-2023）及相关要求管理，不得超期贮存。</w:t>
            </w:r>
            <w:r>
              <w:rPr>
                <w:rFonts w:hint="eastAsia" w:ascii="仿宋_GB2312" w:hAnsi="宋体" w:eastAsia="仿宋_GB2312" w:cs="宋体"/>
                <w:color w:val="454545"/>
                <w:kern w:val="0"/>
                <w:szCs w:val="21"/>
              </w:rPr>
              <w:tab/>
            </w:r>
          </w:p>
          <w:p w14:paraId="4D4E5D0E">
            <w:pPr>
              <w:spacing w:after="156" w:afterLines="50"/>
              <w:jc w:val="left"/>
              <w:rPr>
                <w:rFonts w:hint="eastAsia" w:ascii="仿宋_GB2312" w:eastAsia="仿宋_GB2312"/>
                <w:szCs w:val="21"/>
              </w:rPr>
            </w:pPr>
            <w:r>
              <w:rPr>
                <w:rFonts w:hint="eastAsia" w:ascii="仿宋_GB2312" w:hAnsi="宋体" w:eastAsia="仿宋_GB2312" w:cs="宋体"/>
                <w:color w:val="454545"/>
                <w:kern w:val="0"/>
                <w:szCs w:val="21"/>
              </w:rPr>
              <w:t>（五）其他。严格落实工业场地的分区防渗要求，避免污染地下水和土壤。强化环境风险和突发环境事件的应急管理。制定突发环境事件应急预案并到生态环境部门备案，按应急预案要求配备应急物资，按照主管部门的相关要求组织开展突发环境事件应急演练。做好环境保护措施的安全风险防范。</w:t>
            </w:r>
          </w:p>
        </w:tc>
      </w:tr>
      <w:tr w14:paraId="618DF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5753875E">
            <w:pPr>
              <w:jc w:val="center"/>
              <w:rPr>
                <w:rFonts w:hint="eastAsia" w:ascii="仿宋_GB2312" w:eastAsia="仿宋_GB2312"/>
                <w:szCs w:val="21"/>
              </w:rPr>
            </w:pPr>
            <w:r>
              <w:rPr>
                <w:rFonts w:hint="eastAsia" w:ascii="仿宋_GB2312" w:eastAsia="仿宋_GB2312"/>
                <w:szCs w:val="21"/>
              </w:rPr>
              <w:t>公众参与</w:t>
            </w:r>
          </w:p>
        </w:tc>
        <w:tc>
          <w:tcPr>
            <w:tcW w:w="7421" w:type="dxa"/>
            <w:vAlign w:val="center"/>
          </w:tcPr>
          <w:p w14:paraId="2A9D63EB">
            <w:pPr>
              <w:ind w:firstLine="210" w:firstLineChars="100"/>
              <w:jc w:val="left"/>
              <w:rPr>
                <w:rFonts w:hint="eastAsia" w:ascii="仿宋_GB2312" w:eastAsia="仿宋_GB2312"/>
                <w:szCs w:val="21"/>
              </w:rPr>
            </w:pPr>
            <w:r>
              <w:rPr>
                <w:rFonts w:hint="eastAsia" w:ascii="仿宋_GB2312" w:eastAsia="仿宋_GB2312"/>
                <w:szCs w:val="21"/>
              </w:rPr>
              <w:t>首次公示。2024年10月22日在“环境影响评价信息公示平台”进行公开，内容为《内蒙古金山矿业有限公司</w:t>
            </w:r>
            <w:r>
              <w:rPr>
                <w:rFonts w:hint="eastAsia" w:ascii="仿宋_GB2312" w:hAnsi="Times New Roman" w:eastAsia="仿宋_GB2312"/>
                <w:bCs/>
                <w:szCs w:val="21"/>
              </w:rPr>
              <w:t>3000t/d选矿技改项目</w:t>
            </w:r>
            <w:r>
              <w:rPr>
                <w:rFonts w:hint="eastAsia" w:ascii="仿宋_GB2312" w:eastAsia="仿宋_GB2312"/>
                <w:szCs w:val="21"/>
              </w:rPr>
              <w:t>第一次信息公示》，公示期间未受到任何单位及个人的反馈意见。</w:t>
            </w:r>
          </w:p>
          <w:p w14:paraId="65EB66E2">
            <w:pPr>
              <w:ind w:firstLine="210" w:firstLineChars="100"/>
              <w:jc w:val="left"/>
              <w:rPr>
                <w:rFonts w:hint="eastAsia" w:ascii="仿宋_GB2312" w:eastAsia="仿宋_GB2312"/>
                <w:szCs w:val="21"/>
              </w:rPr>
            </w:pPr>
            <w:r>
              <w:rPr>
                <w:rFonts w:hint="eastAsia" w:ascii="仿宋_GB2312" w:eastAsia="仿宋_GB2312"/>
                <w:szCs w:val="21"/>
              </w:rPr>
              <w:t>第二次公示采用三种方式进行开展：一是在新巴尔虎右旗人民政府网公示《内蒙古金山矿业有限公司3000t/d选矿技改项目环境影响报告书环境影响报告书（征求意见稿）》</w:t>
            </w:r>
            <w:bookmarkStart w:id="0" w:name="_GoBack"/>
            <w:bookmarkEnd w:id="0"/>
            <w:r>
              <w:rPr>
                <w:rFonts w:hint="eastAsia" w:ascii="仿宋_GB2312" w:eastAsia="仿宋_GB2312"/>
                <w:szCs w:val="21"/>
              </w:rPr>
              <w:t>，时间为2024年12月16日起10个工作日；二是通过《内蒙古法制报》公示，10个工作日内共公示两次，日期分别为2024年12月18日和2024年12月20日；三是通过在建设项目所在地周边张贴公告进行了公示，公开日期为2024年12月16日起10个工作日，公示期间未收到任何单位及个人的反馈意见。</w:t>
            </w:r>
          </w:p>
        </w:tc>
      </w:tr>
    </w:tbl>
    <w:p w14:paraId="677D78E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ACB"/>
    <w:rsid w:val="000F61F6"/>
    <w:rsid w:val="00114BF3"/>
    <w:rsid w:val="0013449A"/>
    <w:rsid w:val="00183EF4"/>
    <w:rsid w:val="0020775F"/>
    <w:rsid w:val="003B3CE7"/>
    <w:rsid w:val="004059B1"/>
    <w:rsid w:val="00457CBD"/>
    <w:rsid w:val="00505639"/>
    <w:rsid w:val="006B3C8B"/>
    <w:rsid w:val="0075395C"/>
    <w:rsid w:val="0075505E"/>
    <w:rsid w:val="008234F3"/>
    <w:rsid w:val="00882FA0"/>
    <w:rsid w:val="008959A2"/>
    <w:rsid w:val="008C21A0"/>
    <w:rsid w:val="008C6ACB"/>
    <w:rsid w:val="008F4ADE"/>
    <w:rsid w:val="00A84665"/>
    <w:rsid w:val="00B23B19"/>
    <w:rsid w:val="00BA0DC3"/>
    <w:rsid w:val="00C25369"/>
    <w:rsid w:val="00C41D8F"/>
    <w:rsid w:val="00DB5247"/>
    <w:rsid w:val="00F55727"/>
    <w:rsid w:val="184F482E"/>
    <w:rsid w:val="35D67EF9"/>
    <w:rsid w:val="3AE821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 w:type="table" w:styleId="3">
    <w:name w:val="Table Grid"/>
    <w:basedOn w:val="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MS</Company>
  <Pages>1</Pages>
  <Words>1124</Words>
  <Characters>1194</Characters>
  <Lines>8</Lines>
  <Paragraphs>2</Paragraphs>
  <TotalTime>1</TotalTime>
  <ScaleCrop>false</ScaleCrop>
  <LinksUpToDate>false</LinksUpToDate>
  <CharactersWithSpaces>1195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2024-06-05T01:27:00Z</dcterms:created>
  <dc:creator>张雪丹(拟稿)</dc:creator>
  <cp:lastModifiedBy>大漠飞沙</cp:lastModifiedBy>
  <dcterms:modified xsi:type="dcterms:W3CDTF">2025-08-05T07:23:36Z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eyJoZGlkIjoiN2NhZWM5Yjk3ZTk5MDhmNDA5MjQ5Mzk0MjFiNGZmZjEiLCJ1c2VySWQiOiIxMDY1MTg4ODQ0In0=</vt:lpwstr>
  </property>
  <property fmtid="{D5CDD505-2E9C-101B-9397-08002B2CF9AE}" pid="3" name="KSOProductBuildVer">
    <vt:lpwstr>2052-12.1.0.21915</vt:lpwstr>
  </property>
  <property fmtid="{D5CDD505-2E9C-101B-9397-08002B2CF9AE}" pid="4" name="ICV">
    <vt:lpwstr>A7848796426F467F89B0E9C6ED7EEEC6_12</vt:lpwstr>
  </property>
</Properties>
</file>