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5"/>
        <w:keepNext w:val="0"/>
        <w:keepLines w:val="0"/>
        <w:pageBreakBefore w:val="0"/>
        <w:kinsoku/>
        <w:overflowPunct/>
        <w:topLinePunct w:val="0"/>
        <w:autoSpaceDE/>
        <w:autoSpaceDN/>
        <w:bidi w:val="0"/>
        <w:adjustRightInd w:val="0"/>
        <w:snapToGrid w:val="0"/>
        <w:spacing w:line="240" w:lineRule="atLeast"/>
        <w:jc w:val="center"/>
        <w:textAlignment w:val="auto"/>
        <w:rPr>
          <w:rFonts w:hint="eastAsia"/>
          <w:b/>
          <w:sz w:val="32"/>
          <w:szCs w:val="32"/>
          <w:lang w:eastAsia="zh-CN"/>
        </w:rPr>
      </w:pPr>
      <w:r>
        <w:rPr>
          <w:rFonts w:hint="eastAsia"/>
          <w:b/>
          <w:sz w:val="32"/>
          <w:szCs w:val="32"/>
          <w:lang w:eastAsia="zh-CN"/>
        </w:rPr>
        <w:t>呼伦贝尔市生态环境局</w:t>
      </w:r>
    </w:p>
    <w:p>
      <w:pPr>
        <w:pStyle w:val="5"/>
        <w:keepNext w:val="0"/>
        <w:keepLines w:val="0"/>
        <w:pageBreakBefore w:val="0"/>
        <w:kinsoku/>
        <w:overflowPunct/>
        <w:topLinePunct w:val="0"/>
        <w:autoSpaceDE/>
        <w:autoSpaceDN/>
        <w:bidi w:val="0"/>
        <w:adjustRightInd w:val="0"/>
        <w:snapToGrid w:val="0"/>
        <w:spacing w:line="240" w:lineRule="atLeast"/>
        <w:jc w:val="center"/>
        <w:textAlignment w:val="auto"/>
        <w:rPr>
          <w:rFonts w:hint="eastAsia"/>
          <w:b/>
          <w:sz w:val="32"/>
          <w:szCs w:val="32"/>
          <w:lang w:eastAsia="zh-CN"/>
        </w:rPr>
      </w:pPr>
      <w:r>
        <w:rPr>
          <w:rFonts w:hint="eastAsia"/>
          <w:b/>
          <w:sz w:val="32"/>
          <w:szCs w:val="32"/>
          <w:lang w:eastAsia="zh-CN"/>
        </w:rPr>
        <w:t>行政处罚决定书</w:t>
      </w:r>
    </w:p>
    <w:p>
      <w:pPr>
        <w:pStyle w:val="5"/>
        <w:keepNext w:val="0"/>
        <w:keepLines w:val="0"/>
        <w:pageBreakBefore w:val="0"/>
        <w:kinsoku/>
        <w:overflowPunct/>
        <w:topLinePunct w:val="0"/>
        <w:autoSpaceDE/>
        <w:autoSpaceDN/>
        <w:bidi w:val="0"/>
        <w:adjustRightInd w:val="0"/>
        <w:snapToGrid w:val="0"/>
        <w:spacing w:line="240" w:lineRule="atLeast"/>
        <w:jc w:val="center"/>
        <w:textAlignment w:val="auto"/>
        <w:rPr>
          <w:rFonts w:hint="eastAsia" w:asciiTheme="minorEastAsia" w:hAnsiTheme="minorEastAsia" w:eastAsiaTheme="minorEastAsia" w:cstheme="minorEastAsia"/>
          <w:kern w:val="2"/>
          <w:sz w:val="21"/>
          <w:szCs w:val="21"/>
          <w:lang w:val="en-US" w:eastAsia="zh-CN"/>
        </w:rPr>
      </w:pPr>
      <w:r>
        <w:rPr>
          <w:rFonts w:hint="eastAsia" w:asciiTheme="minorEastAsia" w:hAnsiTheme="minorEastAsia" w:eastAsiaTheme="minorEastAsia" w:cstheme="minorEastAsia"/>
          <w:kern w:val="2"/>
          <w:sz w:val="21"/>
          <w:szCs w:val="21"/>
          <w:lang w:val="en-US" w:eastAsia="zh-CN"/>
        </w:rPr>
        <w:t>呼环罚[202</w:t>
      </w:r>
      <w:r>
        <w:rPr>
          <w:rFonts w:hint="eastAsia" w:asciiTheme="minorEastAsia" w:hAnsiTheme="minorEastAsia" w:cstheme="minorEastAsia"/>
          <w:kern w:val="2"/>
          <w:sz w:val="21"/>
          <w:szCs w:val="21"/>
          <w:lang w:val="en-US" w:eastAsia="zh-CN"/>
        </w:rPr>
        <w:t>5</w:t>
      </w:r>
      <w:r>
        <w:rPr>
          <w:rFonts w:hint="eastAsia" w:asciiTheme="minorEastAsia" w:hAnsiTheme="minorEastAsia" w:eastAsiaTheme="minorEastAsia" w:cstheme="minorEastAsia"/>
          <w:kern w:val="2"/>
          <w:sz w:val="21"/>
          <w:szCs w:val="21"/>
          <w:lang w:val="en-US" w:eastAsia="zh-CN"/>
        </w:rPr>
        <w:t>]0600</w:t>
      </w:r>
      <w:r>
        <w:rPr>
          <w:rFonts w:hint="eastAsia" w:asciiTheme="minorEastAsia" w:hAnsiTheme="minorEastAsia" w:cstheme="minorEastAsia"/>
          <w:kern w:val="2"/>
          <w:sz w:val="21"/>
          <w:szCs w:val="21"/>
          <w:lang w:val="en-US" w:eastAsia="zh-CN"/>
        </w:rPr>
        <w:t>2</w:t>
      </w:r>
      <w:r>
        <w:rPr>
          <w:rFonts w:hint="eastAsia" w:asciiTheme="minorEastAsia" w:hAnsiTheme="minorEastAsia" w:eastAsiaTheme="minorEastAsia" w:cstheme="minorEastAsia"/>
          <w:kern w:val="2"/>
          <w:sz w:val="21"/>
          <w:szCs w:val="21"/>
          <w:lang w:val="en-US" w:eastAsia="zh-CN"/>
        </w:rPr>
        <w:t>号</w:t>
      </w:r>
    </w:p>
    <w:p>
      <w:pPr>
        <w:pStyle w:val="5"/>
        <w:keepNext w:val="0"/>
        <w:keepLines w:val="0"/>
        <w:pageBreakBefore w:val="0"/>
        <w:kinsoku/>
        <w:overflowPunct/>
        <w:topLinePunct w:val="0"/>
        <w:autoSpaceDE/>
        <w:autoSpaceDN/>
        <w:bidi w:val="0"/>
        <w:adjustRightInd w:val="0"/>
        <w:snapToGrid w:val="0"/>
        <w:spacing w:line="240" w:lineRule="atLeast"/>
        <w:jc w:val="center"/>
        <w:textAlignment w:val="auto"/>
        <w:rPr>
          <w:rFonts w:hint="eastAsia" w:asciiTheme="minorEastAsia" w:hAnsiTheme="minorEastAsia" w:eastAsiaTheme="minorEastAsia" w:cstheme="minorEastAsia"/>
          <w:kern w:val="2"/>
          <w:sz w:val="21"/>
          <w:szCs w:val="21"/>
          <w:lang w:val="en-US" w:eastAsia="zh-CN"/>
        </w:rPr>
      </w:pPr>
    </w:p>
    <w:p>
      <w:pPr>
        <w:keepNext w:val="0"/>
        <w:keepLines w:val="0"/>
        <w:pageBreakBefore w:val="0"/>
        <w:kinsoku/>
        <w:wordWrap/>
        <w:overflowPunct/>
        <w:topLinePunct w:val="0"/>
        <w:autoSpaceDE/>
        <w:autoSpaceDN/>
        <w:bidi w:val="0"/>
        <w:adjustRightInd/>
        <w:spacing w:line="360" w:lineRule="auto"/>
        <w:ind w:right="0" w:rightChars="0"/>
        <w:jc w:val="left"/>
        <w:textAlignment w:val="auto"/>
        <w:outlineLvl w:val="9"/>
        <w:rPr>
          <w:rFonts w:hint="eastAsia" w:ascii="宋体" w:hAnsi="宋体" w:eastAsia="宋体" w:cs="宋体"/>
          <w:sz w:val="21"/>
          <w:szCs w:val="21"/>
          <w:u w:val="none"/>
          <w:lang w:val="en-US" w:eastAsia="zh-CN"/>
        </w:rPr>
      </w:pPr>
      <w:r>
        <w:rPr>
          <w:rFonts w:hint="eastAsia" w:ascii="宋体" w:hAnsi="宋体" w:eastAsia="宋体" w:cs="宋体"/>
          <w:sz w:val="21"/>
          <w:szCs w:val="21"/>
          <w:u w:val="none"/>
          <w:lang w:val="en-US" w:eastAsia="zh-CN"/>
        </w:rPr>
        <w:t>当事人名称：</w:t>
      </w:r>
      <w:r>
        <w:rPr>
          <w:rFonts w:hint="eastAsia" w:ascii="宋体" w:hAnsi="宋体" w:eastAsia="宋体" w:cs="宋体"/>
          <w:color w:val="000000"/>
          <w:szCs w:val="21"/>
          <w:u w:val="none"/>
          <w:lang w:val="en-US" w:eastAsia="zh-CN"/>
        </w:rPr>
        <w:t>根河市满归大林公共事业管理有限公司</w:t>
      </w:r>
    </w:p>
    <w:p>
      <w:pPr>
        <w:keepNext w:val="0"/>
        <w:keepLines w:val="0"/>
        <w:pageBreakBefore w:val="0"/>
        <w:kinsoku/>
        <w:wordWrap/>
        <w:overflowPunct/>
        <w:topLinePunct w:val="0"/>
        <w:autoSpaceDE/>
        <w:autoSpaceDN/>
        <w:bidi w:val="0"/>
        <w:adjustRightInd/>
        <w:spacing w:line="360" w:lineRule="auto"/>
        <w:ind w:right="0" w:rightChars="0"/>
        <w:textAlignment w:val="auto"/>
        <w:outlineLvl w:val="9"/>
        <w:rPr>
          <w:rFonts w:hint="eastAsia" w:ascii="宋体" w:hAnsi="宋体" w:eastAsia="宋体" w:cs="宋体"/>
          <w:sz w:val="21"/>
          <w:szCs w:val="21"/>
          <w:u w:val="none"/>
          <w:lang w:val="en-US" w:eastAsia="zh-CN"/>
        </w:rPr>
      </w:pPr>
      <w:r>
        <w:rPr>
          <w:rFonts w:hint="eastAsia" w:ascii="宋体" w:hAnsi="宋体" w:eastAsia="宋体" w:cs="宋体"/>
          <w:sz w:val="21"/>
          <w:szCs w:val="21"/>
          <w:u w:val="none"/>
          <w:lang w:val="en-US" w:eastAsia="zh-CN"/>
        </w:rPr>
        <w:t>法定代表人：</w:t>
      </w:r>
      <w:r>
        <w:rPr>
          <w:rFonts w:hint="eastAsia" w:ascii="宋体" w:hAnsi="宋体" w:eastAsia="宋体" w:cs="宋体"/>
          <w:color w:val="000000"/>
          <w:sz w:val="21"/>
          <w:szCs w:val="21"/>
          <w:u w:val="none"/>
          <w:lang w:val="en-US" w:eastAsia="zh-CN"/>
        </w:rPr>
        <w:t>祝仰辉</w:t>
      </w:r>
    </w:p>
    <w:p>
      <w:pPr>
        <w:keepNext w:val="0"/>
        <w:keepLines w:val="0"/>
        <w:pageBreakBefore w:val="0"/>
        <w:kinsoku/>
        <w:wordWrap/>
        <w:overflowPunct/>
        <w:topLinePunct w:val="0"/>
        <w:autoSpaceDE/>
        <w:autoSpaceDN/>
        <w:bidi w:val="0"/>
        <w:adjustRightInd/>
        <w:spacing w:line="360" w:lineRule="auto"/>
        <w:ind w:right="0" w:rightChars="0"/>
        <w:textAlignment w:val="auto"/>
        <w:outlineLvl w:val="9"/>
        <w:rPr>
          <w:rFonts w:hint="eastAsia" w:ascii="宋体" w:hAnsi="宋体" w:eastAsia="宋体" w:cs="宋体"/>
          <w:color w:val="000000"/>
          <w:u w:val="none"/>
          <w:lang w:val="en-US" w:eastAsia="zh-CN"/>
        </w:rPr>
      </w:pPr>
      <w:r>
        <w:rPr>
          <w:rFonts w:hint="eastAsia" w:ascii="宋体" w:hAnsi="宋体" w:eastAsia="宋体" w:cs="宋体"/>
          <w:color w:val="000000"/>
          <w:sz w:val="21"/>
          <w:szCs w:val="21"/>
          <w:u w:val="none"/>
          <w:lang w:val="en-US" w:eastAsia="zh-CN"/>
        </w:rPr>
        <w:t>统一社会信用代码：</w:t>
      </w:r>
      <w:r>
        <w:rPr>
          <w:rFonts w:hint="eastAsia" w:ascii="宋体" w:hAnsi="宋体" w:eastAsia="宋体" w:cs="宋体"/>
          <w:color w:val="000000"/>
          <w:u w:val="none"/>
          <w:lang w:val="en-US" w:eastAsia="zh-CN"/>
        </w:rPr>
        <w:t>91150785MA0MYBRL6D</w:t>
      </w:r>
    </w:p>
    <w:p>
      <w:pPr>
        <w:keepNext w:val="0"/>
        <w:keepLines w:val="0"/>
        <w:pageBreakBefore w:val="0"/>
        <w:widowControl w:val="0"/>
        <w:kinsoku/>
        <w:wordWrap/>
        <w:overflowPunct/>
        <w:topLinePunct w:val="0"/>
        <w:autoSpaceDE/>
        <w:autoSpaceDN/>
        <w:bidi w:val="0"/>
        <w:adjustRightInd/>
        <w:snapToGrid/>
        <w:spacing w:line="264" w:lineRule="auto"/>
        <w:ind w:right="0" w:rightChars="0"/>
        <w:textAlignment w:val="auto"/>
        <w:outlineLvl w:val="9"/>
        <w:rPr>
          <w:rFonts w:hint="eastAsia" w:asciiTheme="minorEastAsia" w:hAnsiTheme="minorEastAsia" w:eastAsiaTheme="minorEastAsia" w:cstheme="minorEastAsia"/>
          <w:sz w:val="24"/>
          <w:szCs w:val="24"/>
          <w:u w:val="none"/>
        </w:rPr>
      </w:pPr>
      <w:r>
        <w:rPr>
          <w:rFonts w:hint="eastAsia" w:ascii="宋体" w:hAnsi="宋体" w:eastAsia="宋体" w:cs="宋体"/>
          <w:color w:val="000000"/>
          <w:sz w:val="21"/>
          <w:szCs w:val="21"/>
          <w:u w:val="none"/>
          <w:lang w:val="en-US" w:eastAsia="zh-CN"/>
        </w:rPr>
        <w:t>地址：</w:t>
      </w:r>
      <w:r>
        <w:rPr>
          <w:rFonts w:hint="eastAsia" w:ascii="宋体" w:hAnsi="宋体" w:eastAsia="宋体" w:cs="宋体"/>
          <w:color w:val="000000"/>
          <w:szCs w:val="21"/>
          <w:u w:val="none"/>
          <w:lang w:val="en-US" w:eastAsia="zh-CN"/>
        </w:rPr>
        <w:t>根河市满归镇</w:t>
      </w:r>
      <w:r>
        <w:rPr>
          <w:rFonts w:hint="eastAsia" w:ascii="宋体" w:hAnsi="宋体" w:eastAsia="宋体" w:cs="宋体"/>
          <w:szCs w:val="21"/>
          <w:u w:val="none"/>
          <w:lang w:val="en-US" w:eastAsia="zh-CN"/>
        </w:rPr>
        <w:t>护林街</w:t>
      </w:r>
      <w:r>
        <w:rPr>
          <w:rFonts w:hint="eastAsia" w:ascii="宋体" w:hAnsi="宋体" w:eastAsia="宋体" w:cs="宋体"/>
          <w:color w:val="000000"/>
          <w:sz w:val="21"/>
          <w:szCs w:val="21"/>
          <w:u w:val="none"/>
          <w:lang w:val="en-US" w:eastAsia="zh-CN"/>
        </w:rPr>
        <w:t xml:space="preserve"> </w:t>
      </w:r>
      <w:r>
        <w:rPr>
          <w:rFonts w:hint="eastAsia" w:asciiTheme="minorEastAsia" w:hAnsiTheme="minorEastAsia" w:eastAsiaTheme="minorEastAsia" w:cstheme="minorEastAsia"/>
          <w:sz w:val="24"/>
          <w:szCs w:val="24"/>
          <w:u w:val="none"/>
          <w:lang w:val="en-US" w:eastAsia="zh-CN"/>
        </w:rPr>
        <w:t xml:space="preserve"> </w:t>
      </w:r>
      <w:r>
        <w:rPr>
          <w:rFonts w:hint="eastAsia" w:asciiTheme="minorEastAsia" w:hAnsiTheme="minorEastAsia" w:eastAsiaTheme="minorEastAsia" w:cstheme="minorEastAsia"/>
          <w:sz w:val="24"/>
          <w:szCs w:val="24"/>
          <w:u w:val="none"/>
        </w:rPr>
        <w:t xml:space="preserve">  </w:t>
      </w:r>
    </w:p>
    <w:p>
      <w:pPr>
        <w:keepNext w:val="0"/>
        <w:keepLines w:val="0"/>
        <w:pageBreakBefore w:val="0"/>
        <w:widowControl w:val="0"/>
        <w:kinsoku/>
        <w:wordWrap/>
        <w:overflowPunct/>
        <w:topLinePunct w:val="0"/>
        <w:autoSpaceDE/>
        <w:autoSpaceDN/>
        <w:bidi w:val="0"/>
        <w:adjustRightInd w:val="0"/>
        <w:snapToGrid w:val="0"/>
        <w:spacing w:line="264" w:lineRule="auto"/>
        <w:ind w:right="0" w:rightChars="0" w:firstLine="420" w:firstLineChars="200"/>
        <w:jc w:val="both"/>
        <w:textAlignment w:val="auto"/>
        <w:outlineLvl w:val="9"/>
        <w:rPr>
          <w:rFonts w:hint="eastAsia" w:ascii="宋体" w:hAnsi="宋体" w:eastAsia="宋体" w:cs="宋体"/>
          <w:color w:val="000000" w:themeColor="text1"/>
          <w:sz w:val="21"/>
          <w:szCs w:val="21"/>
          <w:u w:val="none"/>
          <w:lang w:val="en-US" w:eastAsia="zh-CN"/>
          <w14:textFill>
            <w14:solidFill>
              <w14:schemeClr w14:val="tx1"/>
            </w14:solidFill>
          </w14:textFill>
        </w:rPr>
      </w:pPr>
      <w:r>
        <w:rPr>
          <w:rFonts w:hint="eastAsia" w:ascii="宋体" w:hAnsi="宋体" w:eastAsia="宋体" w:cs="宋体"/>
          <w:color w:val="000000" w:themeColor="text1"/>
          <w:sz w:val="21"/>
          <w:szCs w:val="21"/>
          <w:u w:val="none"/>
          <w14:textFill>
            <w14:solidFill>
              <w14:schemeClr w14:val="tx1"/>
            </w14:solidFill>
          </w14:textFill>
        </w:rPr>
        <w:t>我局于</w:t>
      </w:r>
      <w:r>
        <w:rPr>
          <w:rFonts w:hint="eastAsia" w:ascii="宋体" w:hAnsi="宋体" w:eastAsia="宋体" w:cs="宋体"/>
          <w:color w:val="000000" w:themeColor="text1"/>
          <w:sz w:val="21"/>
          <w:szCs w:val="21"/>
          <w:u w:val="none"/>
          <w:lang w:val="en-US" w:eastAsia="zh-CN"/>
          <w14:textFill>
            <w14:solidFill>
              <w14:schemeClr w14:val="tx1"/>
            </w14:solidFill>
          </w14:textFill>
        </w:rPr>
        <w:t>2025</w:t>
      </w:r>
      <w:r>
        <w:rPr>
          <w:rFonts w:hint="eastAsia" w:ascii="宋体" w:hAnsi="宋体" w:eastAsia="宋体" w:cs="宋体"/>
          <w:color w:val="000000" w:themeColor="text1"/>
          <w:sz w:val="21"/>
          <w:szCs w:val="21"/>
          <w:u w:val="none"/>
          <w14:textFill>
            <w14:solidFill>
              <w14:schemeClr w14:val="tx1"/>
            </w14:solidFill>
          </w14:textFill>
        </w:rPr>
        <w:t>年</w:t>
      </w:r>
      <w:r>
        <w:rPr>
          <w:rFonts w:hint="eastAsia" w:ascii="宋体" w:hAnsi="宋体" w:eastAsia="宋体" w:cs="宋体"/>
          <w:color w:val="000000" w:themeColor="text1"/>
          <w:sz w:val="21"/>
          <w:szCs w:val="21"/>
          <w:u w:val="none"/>
          <w:lang w:val="en-US" w:eastAsia="zh-CN"/>
          <w14:textFill>
            <w14:solidFill>
              <w14:schemeClr w14:val="tx1"/>
            </w14:solidFill>
          </w14:textFill>
        </w:rPr>
        <w:t>5</w:t>
      </w:r>
      <w:r>
        <w:rPr>
          <w:rFonts w:hint="eastAsia" w:ascii="宋体" w:hAnsi="宋体" w:eastAsia="宋体" w:cs="宋体"/>
          <w:color w:val="000000" w:themeColor="text1"/>
          <w:sz w:val="21"/>
          <w:szCs w:val="21"/>
          <w:u w:val="none"/>
          <w14:textFill>
            <w14:solidFill>
              <w14:schemeClr w14:val="tx1"/>
            </w14:solidFill>
          </w14:textFill>
        </w:rPr>
        <w:t>月</w:t>
      </w:r>
      <w:r>
        <w:rPr>
          <w:rFonts w:hint="eastAsia" w:ascii="宋体" w:hAnsi="宋体" w:eastAsia="宋体" w:cs="宋体"/>
          <w:color w:val="000000" w:themeColor="text1"/>
          <w:sz w:val="21"/>
          <w:szCs w:val="21"/>
          <w:u w:val="none"/>
          <w:lang w:val="en-US" w:eastAsia="zh-CN"/>
          <w14:textFill>
            <w14:solidFill>
              <w14:schemeClr w14:val="tx1"/>
            </w14:solidFill>
          </w14:textFill>
        </w:rPr>
        <w:t>27</w:t>
      </w:r>
      <w:r>
        <w:rPr>
          <w:rFonts w:hint="eastAsia" w:ascii="宋体" w:hAnsi="宋体" w:eastAsia="宋体" w:cs="宋体"/>
          <w:color w:val="000000" w:themeColor="text1"/>
          <w:sz w:val="21"/>
          <w:szCs w:val="21"/>
          <w:u w:val="none"/>
          <w14:textFill>
            <w14:solidFill>
              <w14:schemeClr w14:val="tx1"/>
            </w14:solidFill>
          </w14:textFill>
        </w:rPr>
        <w:t>日对你单位进行了调查</w:t>
      </w:r>
      <w:r>
        <w:rPr>
          <w:rFonts w:hint="eastAsia" w:ascii="宋体" w:hAnsi="宋体" w:eastAsia="宋体" w:cs="宋体"/>
          <w:color w:val="000000" w:themeColor="text1"/>
          <w:sz w:val="21"/>
          <w:szCs w:val="21"/>
          <w:u w:val="none"/>
          <w:lang w:val="en-US" w:eastAsia="zh-CN"/>
          <w14:textFill>
            <w14:solidFill>
              <w14:schemeClr w14:val="tx1"/>
            </w14:solidFill>
          </w14:textFill>
        </w:rPr>
        <w:t>，发现你公司实施了以下环境违法行为：</w:t>
      </w:r>
    </w:p>
    <w:p>
      <w:pPr>
        <w:keepNext w:val="0"/>
        <w:keepLines w:val="0"/>
        <w:pageBreakBefore w:val="0"/>
        <w:widowControl w:val="0"/>
        <w:kinsoku/>
        <w:wordWrap/>
        <w:overflowPunct/>
        <w:topLinePunct w:val="0"/>
        <w:autoSpaceDE/>
        <w:autoSpaceDN/>
        <w:bidi w:val="0"/>
        <w:adjustRightInd w:val="0"/>
        <w:snapToGrid w:val="0"/>
        <w:spacing w:line="264" w:lineRule="auto"/>
        <w:ind w:right="0" w:rightChars="0" w:firstLine="420" w:firstLineChars="200"/>
        <w:jc w:val="both"/>
        <w:textAlignment w:val="auto"/>
        <w:outlineLvl w:val="9"/>
        <w:rPr>
          <w:rFonts w:hint="eastAsia" w:ascii="宋体" w:hAnsi="宋体" w:eastAsia="宋体" w:cs="宋体"/>
          <w:color w:val="000000" w:themeColor="text1"/>
          <w:sz w:val="21"/>
          <w:szCs w:val="21"/>
          <w:u w:val="none"/>
          <w:lang w:val="en-US" w:eastAsia="zh-CN"/>
          <w14:textFill>
            <w14:solidFill>
              <w14:schemeClr w14:val="tx1"/>
            </w14:solidFill>
          </w14:textFill>
        </w:rPr>
      </w:pPr>
      <w:r>
        <w:rPr>
          <w:rFonts w:hint="eastAsia" w:ascii="宋体" w:hAnsi="宋体" w:eastAsia="宋体" w:cs="宋体"/>
          <w:color w:val="000000"/>
          <w:sz w:val="21"/>
          <w:szCs w:val="21"/>
          <w:u w:val="none"/>
          <w:lang w:val="en-US" w:eastAsia="zh-CN"/>
        </w:rPr>
        <w:t>经我局执法人员调取污染源在线监控系统数据，2024年</w:t>
      </w:r>
      <w:r>
        <w:rPr>
          <w:rFonts w:hint="eastAsia" w:ascii="宋体" w:hAnsi="宋体" w:eastAsia="宋体" w:cs="宋体"/>
          <w:color w:val="000000"/>
          <w:szCs w:val="21"/>
          <w:u w:val="none"/>
          <w:lang w:val="en-US" w:eastAsia="zh-CN"/>
        </w:rPr>
        <w:t>根河市满归大林公共事业管理有限公司</w:t>
      </w:r>
      <w:r>
        <w:rPr>
          <w:rFonts w:hint="eastAsia" w:ascii="宋体" w:hAnsi="宋体" w:eastAsia="宋体" w:cs="宋体"/>
          <w:color w:val="000000"/>
          <w:sz w:val="21"/>
          <w:szCs w:val="21"/>
          <w:u w:val="none"/>
          <w:lang w:val="en-US" w:eastAsia="zh-CN"/>
        </w:rPr>
        <w:t>大气一般污染物排放总量</w:t>
      </w:r>
      <w:r>
        <w:rPr>
          <w:rFonts w:hint="eastAsia" w:ascii="宋体" w:hAnsi="宋体" w:eastAsia="宋体" w:cs="宋体"/>
          <w:color w:val="000000"/>
          <w:sz w:val="21"/>
          <w:szCs w:val="21"/>
          <w:u w:val="none"/>
          <w:lang w:eastAsia="zh-CN"/>
        </w:rPr>
        <w:t>为</w:t>
      </w:r>
      <w:r>
        <w:rPr>
          <w:rFonts w:hint="eastAsia" w:ascii="宋体" w:hAnsi="宋体" w:eastAsia="宋体" w:cs="宋体"/>
          <w:color w:val="000000"/>
          <w:sz w:val="21"/>
          <w:szCs w:val="21"/>
          <w:u w:val="none"/>
          <w:lang w:val="en-US" w:eastAsia="zh-CN"/>
        </w:rPr>
        <w:t>二氧化硫18.869t。排污许可证2024年污染物核定排放量</w:t>
      </w:r>
      <w:r>
        <w:rPr>
          <w:rFonts w:hint="eastAsia" w:ascii="宋体" w:hAnsi="宋体" w:eastAsia="宋体" w:cs="宋体"/>
          <w:color w:val="000000"/>
          <w:sz w:val="21"/>
          <w:szCs w:val="21"/>
          <w:u w:val="none"/>
          <w:lang w:eastAsia="zh-CN"/>
        </w:rPr>
        <w:t>为</w:t>
      </w:r>
      <w:r>
        <w:rPr>
          <w:rFonts w:hint="eastAsia" w:ascii="宋体" w:hAnsi="宋体" w:eastAsia="宋体" w:cs="宋体"/>
          <w:color w:val="000000"/>
          <w:sz w:val="21"/>
          <w:szCs w:val="21"/>
          <w:u w:val="none"/>
          <w:lang w:val="en-US" w:eastAsia="zh-CN"/>
        </w:rPr>
        <w:t>二氧化硫11.63t，超过排污许可证大气污染物排放总许可量的规定</w:t>
      </w:r>
      <w:r>
        <w:rPr>
          <w:rFonts w:hint="eastAsia" w:ascii="宋体" w:hAnsi="宋体" w:eastAsia="宋体" w:cs="宋体"/>
          <w:color w:val="000000" w:themeColor="text1"/>
          <w:sz w:val="21"/>
          <w:szCs w:val="21"/>
          <w:u w:val="none"/>
          <w:lang w:val="en-US" w:eastAsia="zh-CN"/>
          <w14:textFill>
            <w14:solidFill>
              <w14:schemeClr w14:val="tx1"/>
            </w14:solidFill>
          </w14:textFill>
        </w:rPr>
        <w:t xml:space="preserve">。  </w:t>
      </w:r>
    </w:p>
    <w:p>
      <w:pPr>
        <w:keepNext w:val="0"/>
        <w:keepLines w:val="0"/>
        <w:pageBreakBefore w:val="0"/>
        <w:widowControl w:val="0"/>
        <w:kinsoku/>
        <w:wordWrap/>
        <w:overflowPunct/>
        <w:topLinePunct w:val="0"/>
        <w:autoSpaceDE/>
        <w:autoSpaceDN/>
        <w:bidi w:val="0"/>
        <w:adjustRightInd w:val="0"/>
        <w:snapToGrid w:val="0"/>
        <w:spacing w:line="264" w:lineRule="auto"/>
        <w:ind w:right="0" w:rightChars="0" w:firstLine="420" w:firstLineChars="200"/>
        <w:jc w:val="both"/>
        <w:textAlignment w:val="auto"/>
        <w:outlineLvl w:val="9"/>
        <w:rPr>
          <w:rFonts w:hint="eastAsia" w:ascii="宋体" w:hAnsi="宋体" w:eastAsia="宋体" w:cs="宋体"/>
          <w:color w:val="000000" w:themeColor="text1"/>
          <w:sz w:val="21"/>
          <w:szCs w:val="21"/>
          <w:u w:val="none"/>
          <w14:textFill>
            <w14:solidFill>
              <w14:schemeClr w14:val="tx1"/>
            </w14:solidFill>
          </w14:textFill>
        </w:rPr>
      </w:pPr>
      <w:r>
        <w:rPr>
          <w:rFonts w:hint="eastAsia" w:ascii="宋体" w:hAnsi="宋体" w:eastAsia="宋体" w:cs="宋体"/>
          <w:color w:val="000000" w:themeColor="text1"/>
          <w:sz w:val="21"/>
          <w:szCs w:val="21"/>
          <w:u w:val="none"/>
          <w14:textFill>
            <w14:solidFill>
              <w14:schemeClr w14:val="tx1"/>
            </w14:solidFill>
          </w14:textFill>
        </w:rPr>
        <w:t>以上事实，有以下主要证据证明：</w:t>
      </w:r>
    </w:p>
    <w:p>
      <w:pPr>
        <w:keepNext w:val="0"/>
        <w:keepLines w:val="0"/>
        <w:pageBreakBefore w:val="0"/>
        <w:widowControl w:val="0"/>
        <w:numPr>
          <w:ilvl w:val="0"/>
          <w:numId w:val="0"/>
        </w:numPr>
        <w:kinsoku/>
        <w:wordWrap/>
        <w:overflowPunct/>
        <w:topLinePunct w:val="0"/>
        <w:autoSpaceDE/>
        <w:autoSpaceDN/>
        <w:bidi w:val="0"/>
        <w:adjustRightInd w:val="0"/>
        <w:snapToGrid w:val="0"/>
        <w:spacing w:line="264" w:lineRule="auto"/>
        <w:ind w:right="0" w:rightChars="0" w:firstLine="420" w:firstLineChars="200"/>
        <w:jc w:val="both"/>
        <w:textAlignment w:val="auto"/>
        <w:outlineLvl w:val="9"/>
        <w:rPr>
          <w:rFonts w:hint="eastAsia" w:ascii="宋体" w:hAnsi="宋体" w:eastAsia="宋体" w:cs="宋体"/>
          <w:color w:val="000000"/>
          <w:sz w:val="21"/>
          <w:szCs w:val="21"/>
          <w:u w:val="none"/>
          <w:lang w:val="en-US" w:eastAsia="zh-CN"/>
        </w:rPr>
      </w:pPr>
      <w:r>
        <w:rPr>
          <w:rFonts w:hint="eastAsia" w:ascii="宋体" w:hAnsi="宋体" w:eastAsia="宋体" w:cs="宋体"/>
          <w:color w:val="000000"/>
          <w:sz w:val="21"/>
          <w:szCs w:val="21"/>
          <w:u w:val="none"/>
          <w:lang w:val="en-US" w:eastAsia="zh-CN"/>
        </w:rPr>
        <w:t>1.污染源在线监控系统数据，2024</w:t>
      </w:r>
      <w:r>
        <w:rPr>
          <w:rFonts w:hint="eastAsia" w:ascii="宋体" w:hAnsi="宋体" w:eastAsia="宋体" w:cs="宋体"/>
          <w:color w:val="000000"/>
          <w:sz w:val="21"/>
          <w:szCs w:val="21"/>
          <w:u w:val="none"/>
        </w:rPr>
        <w:t>年</w:t>
      </w:r>
      <w:r>
        <w:rPr>
          <w:rFonts w:hint="eastAsia" w:ascii="宋体" w:hAnsi="宋体" w:eastAsia="宋体" w:cs="宋体"/>
          <w:color w:val="000000"/>
          <w:sz w:val="21"/>
          <w:szCs w:val="21"/>
          <w:u w:val="none"/>
          <w:lang w:eastAsia="zh-CN"/>
        </w:rPr>
        <w:t>全年大气污染物排放量为</w:t>
      </w:r>
      <w:r>
        <w:rPr>
          <w:rFonts w:hint="eastAsia" w:ascii="宋体" w:hAnsi="宋体" w:eastAsia="宋体" w:cs="宋体"/>
          <w:color w:val="000000"/>
          <w:sz w:val="21"/>
          <w:szCs w:val="21"/>
          <w:u w:val="none"/>
          <w:lang w:val="en-US" w:eastAsia="zh-CN"/>
        </w:rPr>
        <w:t>二氧化硫18.869t。</w:t>
      </w:r>
      <w:r>
        <w:rPr>
          <w:rFonts w:hint="eastAsia" w:ascii="宋体" w:hAnsi="宋体" w:eastAsia="宋体" w:cs="宋体"/>
          <w:color w:val="000000"/>
          <w:u w:val="none"/>
          <w:lang w:val="en-US" w:eastAsia="zh-CN"/>
        </w:rPr>
        <w:t>证明该企业</w:t>
      </w:r>
      <w:r>
        <w:rPr>
          <w:rFonts w:hint="eastAsia" w:ascii="宋体" w:hAnsi="宋体" w:eastAsia="宋体" w:cs="宋体"/>
          <w:color w:val="000000"/>
          <w:sz w:val="21"/>
          <w:szCs w:val="21"/>
          <w:u w:val="none"/>
          <w:lang w:val="en-US" w:eastAsia="zh-CN"/>
        </w:rPr>
        <w:t>二氧化硫已超过排污许可证2024年排污单位大气排放总许可量。</w:t>
      </w:r>
    </w:p>
    <w:p>
      <w:pPr>
        <w:keepNext w:val="0"/>
        <w:keepLines w:val="0"/>
        <w:pageBreakBefore w:val="0"/>
        <w:widowControl w:val="0"/>
        <w:numPr>
          <w:ilvl w:val="0"/>
          <w:numId w:val="0"/>
        </w:numPr>
        <w:kinsoku/>
        <w:wordWrap/>
        <w:overflowPunct/>
        <w:topLinePunct w:val="0"/>
        <w:autoSpaceDE/>
        <w:autoSpaceDN/>
        <w:bidi w:val="0"/>
        <w:adjustRightInd w:val="0"/>
        <w:snapToGrid w:val="0"/>
        <w:spacing w:line="264" w:lineRule="auto"/>
        <w:ind w:right="0" w:rightChars="0" w:firstLine="420" w:firstLineChars="200"/>
        <w:jc w:val="both"/>
        <w:textAlignment w:val="auto"/>
        <w:outlineLvl w:val="9"/>
        <w:rPr>
          <w:rFonts w:hint="eastAsia" w:ascii="宋体" w:hAnsi="宋体" w:eastAsia="宋体" w:cs="宋体"/>
          <w:color w:val="000000"/>
          <w:u w:val="none"/>
          <w:lang w:val="en-US" w:eastAsia="zh-CN"/>
        </w:rPr>
      </w:pPr>
      <w:r>
        <w:rPr>
          <w:rFonts w:hint="eastAsia" w:ascii="宋体" w:hAnsi="宋体" w:eastAsia="宋体" w:cs="宋体"/>
          <w:color w:val="000000"/>
          <w:sz w:val="21"/>
          <w:szCs w:val="21"/>
          <w:u w:val="none"/>
          <w:lang w:val="en-US" w:eastAsia="zh-CN"/>
        </w:rPr>
        <w:t>2.《排污许可证（副本）》（证书编号：</w:t>
      </w:r>
      <w:r>
        <w:rPr>
          <w:rFonts w:hint="eastAsia" w:ascii="宋体" w:hAnsi="宋体" w:eastAsia="宋体" w:cs="宋体"/>
          <w:color w:val="000000"/>
          <w:u w:val="none"/>
          <w:lang w:val="en-US" w:eastAsia="zh-CN"/>
        </w:rPr>
        <w:t>91150785MA0MYBRL6D001R，发证日期：2024年9月29日</w:t>
      </w:r>
      <w:r>
        <w:rPr>
          <w:rFonts w:hint="eastAsia" w:ascii="宋体" w:hAnsi="宋体" w:eastAsia="宋体" w:cs="宋体"/>
          <w:color w:val="000000"/>
          <w:sz w:val="21"/>
          <w:szCs w:val="21"/>
          <w:u w:val="none"/>
          <w:lang w:val="en-US" w:eastAsia="zh-CN"/>
        </w:rPr>
        <w:t>）由</w:t>
      </w:r>
      <w:r>
        <w:rPr>
          <w:rFonts w:hint="eastAsia" w:ascii="宋体" w:hAnsi="宋体" w:eastAsia="宋体" w:cs="宋体"/>
          <w:color w:val="000000"/>
          <w:szCs w:val="21"/>
          <w:u w:val="none"/>
          <w:lang w:val="en-US" w:eastAsia="zh-CN"/>
        </w:rPr>
        <w:t>根河市满归大林公共事业管理有限公司</w:t>
      </w:r>
      <w:r>
        <w:rPr>
          <w:rFonts w:hint="eastAsia" w:ascii="宋体" w:hAnsi="宋体" w:eastAsia="宋体" w:cs="宋体"/>
          <w:color w:val="000000"/>
          <w:u w:val="none"/>
          <w:lang w:val="en-US" w:eastAsia="zh-CN"/>
        </w:rPr>
        <w:t>出具，证明</w:t>
      </w:r>
      <w:r>
        <w:rPr>
          <w:rFonts w:hint="eastAsia" w:ascii="宋体" w:hAnsi="宋体" w:eastAsia="宋体" w:cs="宋体"/>
          <w:color w:val="000000"/>
          <w:sz w:val="21"/>
          <w:szCs w:val="21"/>
          <w:u w:val="none"/>
          <w:lang w:val="en-US" w:eastAsia="zh-CN"/>
        </w:rPr>
        <w:t>排污许可证2024年排污单位大气排放总许可量</w:t>
      </w:r>
      <w:r>
        <w:rPr>
          <w:rFonts w:hint="eastAsia" w:ascii="宋体" w:hAnsi="宋体" w:eastAsia="宋体" w:cs="宋体"/>
          <w:color w:val="000000"/>
          <w:u w:val="none"/>
          <w:lang w:val="en-US" w:eastAsia="zh-CN"/>
        </w:rPr>
        <w:t>。</w:t>
      </w:r>
    </w:p>
    <w:p>
      <w:pPr>
        <w:keepNext w:val="0"/>
        <w:keepLines w:val="0"/>
        <w:pageBreakBefore w:val="0"/>
        <w:widowControl w:val="0"/>
        <w:numPr>
          <w:ilvl w:val="0"/>
          <w:numId w:val="0"/>
        </w:numPr>
        <w:kinsoku/>
        <w:wordWrap/>
        <w:overflowPunct/>
        <w:topLinePunct w:val="0"/>
        <w:autoSpaceDE/>
        <w:autoSpaceDN/>
        <w:bidi w:val="0"/>
        <w:adjustRightInd w:val="0"/>
        <w:snapToGrid w:val="0"/>
        <w:spacing w:line="264" w:lineRule="auto"/>
        <w:ind w:right="0" w:rightChars="0" w:firstLine="420" w:firstLineChars="200"/>
        <w:jc w:val="both"/>
        <w:textAlignment w:val="auto"/>
        <w:outlineLvl w:val="9"/>
        <w:rPr>
          <w:rFonts w:hint="eastAsia" w:ascii="宋体" w:hAnsi="宋体" w:eastAsia="宋体" w:cs="宋体"/>
          <w:color w:val="000000"/>
          <w:sz w:val="21"/>
          <w:szCs w:val="21"/>
          <w:u w:val="none"/>
          <w:lang w:val="en-US" w:eastAsia="zh-CN"/>
        </w:rPr>
      </w:pPr>
      <w:r>
        <w:rPr>
          <w:rFonts w:hint="eastAsia" w:ascii="宋体" w:hAnsi="宋体" w:eastAsia="宋体" w:cs="宋体"/>
          <w:color w:val="000000"/>
          <w:sz w:val="21"/>
          <w:szCs w:val="21"/>
          <w:u w:val="none"/>
          <w:lang w:val="en-US" w:eastAsia="zh-CN"/>
        </w:rPr>
        <w:t>3.《呼伦贝尔市生态环境局调查询问笔录》《呼伦贝尔市生态环境局现场检查（勘察）笔录》证明执法过程合法性及违法事实客观存在。</w:t>
      </w:r>
    </w:p>
    <w:p>
      <w:pPr>
        <w:keepNext w:val="0"/>
        <w:keepLines w:val="0"/>
        <w:pageBreakBefore w:val="0"/>
        <w:widowControl w:val="0"/>
        <w:numPr>
          <w:ilvl w:val="0"/>
          <w:numId w:val="0"/>
        </w:numPr>
        <w:kinsoku/>
        <w:wordWrap/>
        <w:overflowPunct/>
        <w:topLinePunct w:val="0"/>
        <w:autoSpaceDE/>
        <w:autoSpaceDN/>
        <w:bidi w:val="0"/>
        <w:adjustRightInd w:val="0"/>
        <w:snapToGrid w:val="0"/>
        <w:spacing w:line="264" w:lineRule="auto"/>
        <w:ind w:right="0" w:rightChars="0" w:firstLine="420" w:firstLineChars="200"/>
        <w:jc w:val="both"/>
        <w:textAlignment w:val="auto"/>
        <w:outlineLvl w:val="9"/>
        <w:rPr>
          <w:rFonts w:hint="eastAsia" w:ascii="宋体" w:hAnsi="宋体" w:eastAsia="宋体" w:cs="宋体"/>
          <w:color w:val="000000"/>
          <w:sz w:val="21"/>
          <w:szCs w:val="21"/>
          <w:u w:val="none"/>
          <w:lang w:val="en-US" w:eastAsia="zh-CN"/>
        </w:rPr>
      </w:pPr>
      <w:r>
        <w:rPr>
          <w:rFonts w:hint="eastAsia" w:ascii="宋体" w:hAnsi="宋体" w:eastAsia="宋体" w:cs="宋体"/>
          <w:color w:val="000000"/>
          <w:lang w:val="en-US" w:eastAsia="zh-CN"/>
        </w:rPr>
        <w:t>4.营业执照复印件、法定代表人身份证明复印件证明确认违法主体适格</w:t>
      </w:r>
      <w:r>
        <w:rPr>
          <w:rFonts w:hint="eastAsia" w:ascii="宋体" w:hAnsi="宋体" w:eastAsia="宋体" w:cs="宋体"/>
          <w:color w:val="000000"/>
          <w:sz w:val="21"/>
          <w:szCs w:val="21"/>
          <w:u w:val="none"/>
          <w:lang w:val="en-US" w:eastAsia="zh-CN"/>
        </w:rPr>
        <w:t>。</w:t>
      </w:r>
    </w:p>
    <w:p>
      <w:pPr>
        <w:keepNext w:val="0"/>
        <w:keepLines w:val="0"/>
        <w:pageBreakBefore w:val="0"/>
        <w:widowControl w:val="0"/>
        <w:kinsoku/>
        <w:wordWrap/>
        <w:overflowPunct/>
        <w:topLinePunct w:val="0"/>
        <w:autoSpaceDE/>
        <w:autoSpaceDN/>
        <w:bidi w:val="0"/>
        <w:spacing w:line="264" w:lineRule="auto"/>
        <w:ind w:right="0" w:rightChars="0" w:firstLine="420" w:firstLineChars="200"/>
        <w:jc w:val="both"/>
        <w:textAlignment w:val="auto"/>
        <w:outlineLvl w:val="9"/>
        <w:rPr>
          <w:rFonts w:hint="eastAsia" w:ascii="宋体" w:hAnsi="宋体" w:eastAsia="宋体" w:cs="宋体"/>
          <w:color w:val="000000" w:themeColor="text1"/>
          <w:sz w:val="21"/>
          <w:szCs w:val="21"/>
          <w:u w:val="single"/>
          <w:lang w:val="en-US" w:eastAsia="zh-CN"/>
          <w14:textFill>
            <w14:solidFill>
              <w14:schemeClr w14:val="tx1"/>
            </w14:solidFill>
          </w14:textFill>
        </w:rPr>
      </w:pPr>
      <w:r>
        <w:rPr>
          <w:rFonts w:hint="eastAsia" w:ascii="宋体" w:hAnsi="宋体" w:eastAsia="宋体" w:cs="宋体"/>
          <w:color w:val="000000" w:themeColor="text1"/>
          <w:sz w:val="21"/>
          <w:szCs w:val="21"/>
          <w:u w:val="none"/>
          <w:lang w:val="en-US" w:eastAsia="zh-CN"/>
          <w14:textFill>
            <w14:solidFill>
              <w14:schemeClr w14:val="tx1"/>
            </w14:solidFill>
          </w14:textFill>
        </w:rPr>
        <w:t>你单位的上述行为违反了《排污许可管理条例》第十七条第二款 “排污单位应当遵守排污许可证规定，按照生态环境管理要求运行和维护污染防治设施，建立环境管理制度，严格控制污染物排放。”的规定。</w:t>
      </w:r>
    </w:p>
    <w:p>
      <w:pPr>
        <w:keepNext w:val="0"/>
        <w:keepLines w:val="0"/>
        <w:pageBreakBefore w:val="0"/>
        <w:widowControl w:val="0"/>
        <w:kinsoku/>
        <w:wordWrap/>
        <w:overflowPunct/>
        <w:topLinePunct w:val="0"/>
        <w:autoSpaceDE/>
        <w:autoSpaceDN/>
        <w:bidi w:val="0"/>
        <w:adjustRightInd w:val="0"/>
        <w:snapToGrid w:val="0"/>
        <w:spacing w:line="264" w:lineRule="auto"/>
        <w:ind w:right="0" w:rightChars="0" w:firstLine="420" w:firstLineChars="200"/>
        <w:jc w:val="both"/>
        <w:textAlignment w:val="auto"/>
        <w:outlineLvl w:val="9"/>
        <w:rPr>
          <w:rFonts w:hint="eastAsia" w:ascii="宋体" w:hAnsi="宋体" w:eastAsia="宋体" w:cs="宋体"/>
          <w:color w:val="000000" w:themeColor="text1"/>
          <w:sz w:val="21"/>
          <w:szCs w:val="21"/>
          <w:u w:val="none"/>
          <w:lang w:val="en-US" w:eastAsia="zh-CN"/>
          <w14:textFill>
            <w14:solidFill>
              <w14:schemeClr w14:val="tx1"/>
            </w14:solidFill>
          </w14:textFill>
        </w:rPr>
      </w:pPr>
      <w:r>
        <w:rPr>
          <w:rFonts w:hint="eastAsia" w:ascii="宋体" w:hAnsi="宋体" w:eastAsia="宋体" w:cs="宋体"/>
          <w:color w:val="000000" w:themeColor="text1"/>
          <w:sz w:val="21"/>
          <w:szCs w:val="21"/>
          <w:u w:val="none"/>
          <w:lang w:val="en-US" w:eastAsia="zh-CN"/>
          <w14:textFill>
            <w14:solidFill>
              <w14:schemeClr w14:val="tx1"/>
            </w14:solidFill>
          </w14:textFill>
        </w:rPr>
        <w:t>依据《排污许可管理条例》第三十四条“违反本条例规定，排污单位有下列行为之一的，由生态环境主管部门责令改正或者限制生产、停产整治，处 20 万元以上100 万元以下的罚款；情节严重的，吊销排污许可证，报经有批准权的人民政府批准，责令停业、关闭：（一）超过许可排放浓度、许可排放量排放污染物；”的规定，我局于2025年6月13日送达了《呼伦贝尔市生态环境局行政处罚事先告知书》（呼环罚告[2025]06003号），拟对你公司处以</w:t>
      </w:r>
      <w:r>
        <w:rPr>
          <w:rFonts w:hint="eastAsia" w:ascii="宋体" w:hAnsi="宋体" w:eastAsia="宋体" w:cs="宋体"/>
          <w:snapToGrid w:val="0"/>
          <w:color w:val="000000" w:themeColor="text1"/>
          <w:kern w:val="0"/>
          <w:sz w:val="21"/>
          <w:szCs w:val="21"/>
          <w:lang w:val="en-US" w:eastAsia="zh-CN" w:bidi="ar-SA"/>
          <w14:textFill>
            <w14:solidFill>
              <w14:schemeClr w14:val="tx1"/>
            </w14:solidFill>
          </w14:textFill>
        </w:rPr>
        <w:t>罚款人民币：肆拾贰万贰仟肆佰肆拾贰元（¥422,442.00元）</w:t>
      </w:r>
      <w:r>
        <w:rPr>
          <w:rFonts w:hint="eastAsia" w:ascii="宋体" w:hAnsi="宋体" w:eastAsia="宋体" w:cs="宋体"/>
          <w:color w:val="000000" w:themeColor="text1"/>
          <w:sz w:val="21"/>
          <w:szCs w:val="21"/>
          <w:u w:val="none"/>
          <w:lang w:val="en-US" w:eastAsia="zh-CN"/>
          <w14:textFill>
            <w14:solidFill>
              <w14:schemeClr w14:val="tx1"/>
            </w14:solidFill>
          </w14:textFill>
        </w:rPr>
        <w:t>，并告知你公司有陈述申辩权和听证权。自2025年6月13日起，5日内未向我局提出陈述申辩（听证申请）要求，视为你（单位）放弃陈述申辩（听证)权利。 根据《内蒙古自治区生态环境系统行政处罚裁量基准规定》附表《常用生态环境违法行为行政处罚裁量基准表》 第三条第二项“超标、超总量排放污染物的处罚裁量分级基准及违法情节100万×超过总量数/总量控制指标=罚款金额，多种污染物超总量的，在监测排放浓度项分别累加计算；有毒有害污染物超标的，加 1 倍计算；不足20万元的，按照20万元处罚；罚金最高不超过100万元。”的规定。</w:t>
      </w:r>
      <w:r>
        <w:rPr>
          <w:rFonts w:hint="eastAsia" w:ascii="宋体" w:hAnsi="宋体" w:eastAsia="宋体" w:cs="宋体"/>
          <w:color w:val="000000"/>
          <w:sz w:val="21"/>
          <w:szCs w:val="21"/>
          <w:u w:val="none"/>
          <w:lang w:val="en-US" w:eastAsia="zh-CN"/>
        </w:rPr>
        <w:t>《排污许可证（副本）》（证书编号：</w:t>
      </w:r>
      <w:r>
        <w:rPr>
          <w:rFonts w:hint="eastAsia" w:ascii="宋体" w:hAnsi="宋体" w:eastAsia="宋体" w:cs="宋体"/>
          <w:color w:val="000000"/>
          <w:u w:val="none"/>
          <w:lang w:val="en-US" w:eastAsia="zh-CN"/>
        </w:rPr>
        <w:t>91150785MA0MYBRL6D001R，发证日期：2024年9月29日</w:t>
      </w:r>
      <w:r>
        <w:rPr>
          <w:rFonts w:hint="eastAsia" w:ascii="宋体" w:hAnsi="宋体" w:eastAsia="宋体" w:cs="宋体"/>
          <w:color w:val="000000"/>
          <w:sz w:val="21"/>
          <w:szCs w:val="21"/>
          <w:u w:val="none"/>
          <w:lang w:val="en-US" w:eastAsia="zh-CN"/>
        </w:rPr>
        <w:t>）</w:t>
      </w:r>
      <w:r>
        <w:rPr>
          <w:rFonts w:hint="eastAsia" w:ascii="宋体" w:hAnsi="宋体" w:eastAsia="宋体" w:cs="宋体"/>
          <w:color w:val="000000" w:themeColor="text1"/>
          <w:sz w:val="21"/>
          <w:szCs w:val="21"/>
          <w:u w:val="none"/>
          <w:lang w:val="en-US" w:eastAsia="zh-CN"/>
          <w14:textFill>
            <w14:solidFill>
              <w14:schemeClr w14:val="tx1"/>
            </w14:solidFill>
          </w14:textFill>
        </w:rPr>
        <w:t>规定</w:t>
      </w:r>
      <w:r>
        <w:rPr>
          <w:rFonts w:hint="eastAsia" w:ascii="宋体" w:hAnsi="宋体" w:eastAsia="宋体" w:cs="宋体"/>
          <w:color w:val="000000"/>
          <w:sz w:val="21"/>
          <w:szCs w:val="21"/>
          <w:u w:val="none"/>
          <w:lang w:val="en-US" w:eastAsia="zh-CN"/>
        </w:rPr>
        <w:t>排污单位大气排放总许可量</w:t>
      </w:r>
      <w:r>
        <w:rPr>
          <w:rFonts w:hint="eastAsia" w:ascii="宋体" w:hAnsi="宋体" w:eastAsia="宋体" w:cs="宋体"/>
          <w:color w:val="000000" w:themeColor="text1"/>
          <w:sz w:val="21"/>
          <w:szCs w:val="21"/>
          <w:u w:val="none"/>
          <w:lang w:val="en-US" w:eastAsia="zh-CN"/>
          <w14:textFill>
            <w14:solidFill>
              <w14:schemeClr w14:val="tx1"/>
            </w14:solidFill>
          </w14:textFill>
        </w:rPr>
        <w:t>为二氧化硫</w:t>
      </w:r>
      <w:r>
        <w:rPr>
          <w:rFonts w:hint="eastAsia" w:ascii="宋体" w:hAnsi="宋体" w:eastAsia="宋体" w:cs="宋体"/>
          <w:color w:val="000000"/>
          <w:sz w:val="21"/>
          <w:szCs w:val="21"/>
          <w:u w:val="none"/>
          <w:lang w:val="en-US" w:eastAsia="zh-CN"/>
        </w:rPr>
        <w:t>11.63</w:t>
      </w:r>
      <w:r>
        <w:rPr>
          <w:rFonts w:hint="eastAsia" w:ascii="宋体" w:hAnsi="宋体" w:eastAsia="宋体" w:cs="宋体"/>
          <w:color w:val="000000" w:themeColor="text1"/>
          <w:sz w:val="21"/>
          <w:szCs w:val="21"/>
          <w:u w:val="none"/>
          <w:lang w:val="en-US" w:eastAsia="zh-CN"/>
          <w14:textFill>
            <w14:solidFill>
              <w14:schemeClr w14:val="tx1"/>
            </w14:solidFill>
          </w14:textFill>
        </w:rPr>
        <w:t>t。按照污染源在线监控系统数据2024</w:t>
      </w:r>
      <w:r>
        <w:rPr>
          <w:rFonts w:hint="eastAsia" w:ascii="宋体" w:hAnsi="宋体" w:eastAsia="宋体" w:cs="宋体"/>
          <w:color w:val="000000" w:themeColor="text1"/>
          <w:sz w:val="21"/>
          <w:szCs w:val="21"/>
          <w:u w:val="none"/>
          <w14:textFill>
            <w14:solidFill>
              <w14:schemeClr w14:val="tx1"/>
            </w14:solidFill>
          </w14:textFill>
        </w:rPr>
        <w:t>年</w:t>
      </w:r>
      <w:r>
        <w:rPr>
          <w:rFonts w:hint="eastAsia" w:ascii="宋体" w:hAnsi="宋体" w:eastAsia="宋体" w:cs="宋体"/>
          <w:color w:val="000000" w:themeColor="text1"/>
          <w:sz w:val="21"/>
          <w:szCs w:val="21"/>
          <w:u w:val="none"/>
          <w:lang w:eastAsia="zh-CN"/>
          <w14:textFill>
            <w14:solidFill>
              <w14:schemeClr w14:val="tx1"/>
            </w14:solidFill>
          </w14:textFill>
        </w:rPr>
        <w:t>全年污染物排放量为</w:t>
      </w:r>
      <w:r>
        <w:rPr>
          <w:rFonts w:hint="eastAsia" w:ascii="宋体" w:hAnsi="宋体" w:eastAsia="宋体" w:cs="宋体"/>
          <w:color w:val="000000" w:themeColor="text1"/>
          <w:sz w:val="21"/>
          <w:szCs w:val="21"/>
          <w:u w:val="none"/>
          <w:lang w:val="en-US" w:eastAsia="zh-CN"/>
          <w14:textFill>
            <w14:solidFill>
              <w14:schemeClr w14:val="tx1"/>
            </w14:solidFill>
          </w14:textFill>
        </w:rPr>
        <w:t>二氧化硫18.869t。二氧化硫污染物属于一般大气污染物，二氧化硫：100万×（</w:t>
      </w:r>
      <w:r>
        <w:rPr>
          <w:rFonts w:hint="eastAsia" w:ascii="宋体" w:hAnsi="宋体" w:eastAsia="宋体" w:cs="宋体"/>
          <w:color w:val="000000"/>
          <w:sz w:val="21"/>
          <w:szCs w:val="21"/>
          <w:u w:val="none"/>
          <w:lang w:val="en-US" w:eastAsia="zh-CN"/>
        </w:rPr>
        <w:t>18.869</w:t>
      </w:r>
      <w:r>
        <w:rPr>
          <w:rFonts w:hint="eastAsia" w:ascii="宋体" w:hAnsi="宋体" w:eastAsia="宋体" w:cs="宋体"/>
          <w:color w:val="000000" w:themeColor="text1"/>
          <w:sz w:val="21"/>
          <w:szCs w:val="21"/>
          <w:u w:val="none"/>
          <w:lang w:val="en-US" w:eastAsia="zh-CN"/>
          <w14:textFill>
            <w14:solidFill>
              <w14:schemeClr w14:val="tx1"/>
            </w14:solidFill>
          </w14:textFill>
        </w:rPr>
        <w:t>-</w:t>
      </w:r>
      <w:r>
        <w:rPr>
          <w:rFonts w:hint="eastAsia" w:ascii="宋体" w:hAnsi="宋体" w:eastAsia="宋体" w:cs="宋体"/>
          <w:color w:val="000000"/>
          <w:sz w:val="21"/>
          <w:szCs w:val="21"/>
          <w:u w:val="none"/>
          <w:lang w:val="en-US" w:eastAsia="zh-CN"/>
        </w:rPr>
        <w:t>11.63</w:t>
      </w:r>
      <w:r>
        <w:rPr>
          <w:rFonts w:hint="eastAsia" w:ascii="宋体" w:hAnsi="宋体" w:eastAsia="宋体" w:cs="宋体"/>
          <w:color w:val="000000" w:themeColor="text1"/>
          <w:sz w:val="21"/>
          <w:szCs w:val="21"/>
          <w:u w:val="none"/>
          <w:lang w:val="en-US" w:eastAsia="zh-CN"/>
          <w14:textFill>
            <w14:solidFill>
              <w14:schemeClr w14:val="tx1"/>
            </w14:solidFill>
          </w14:textFill>
        </w:rPr>
        <w:t>）/</w:t>
      </w:r>
      <w:r>
        <w:rPr>
          <w:rFonts w:hint="eastAsia" w:ascii="宋体" w:hAnsi="宋体" w:eastAsia="宋体" w:cs="宋体"/>
          <w:color w:val="000000"/>
          <w:sz w:val="21"/>
          <w:szCs w:val="21"/>
          <w:u w:val="none"/>
          <w:lang w:val="en-US" w:eastAsia="zh-CN"/>
        </w:rPr>
        <w:t>11.63</w:t>
      </w:r>
      <w:r>
        <w:rPr>
          <w:rFonts w:hint="eastAsia" w:ascii="宋体" w:hAnsi="宋体" w:eastAsia="宋体" w:cs="宋体"/>
          <w:color w:val="000000" w:themeColor="text1"/>
          <w:sz w:val="21"/>
          <w:szCs w:val="21"/>
          <w:u w:val="none"/>
          <w:lang w:val="en-US" w:eastAsia="zh-CN"/>
          <w14:textFill>
            <w14:solidFill>
              <w14:schemeClr w14:val="tx1"/>
            </w14:solidFill>
          </w14:textFill>
        </w:rPr>
        <w:t>=62.2442万元，罚款数额为62.2442万元。考虑该公司属于民生企业，承担市辖区内满归镇供暖、供水、物业和市政环卫等职能，发现超总量情况后，积极改正违法行为，在2024年12月27日提出重新申请排污许可证，并于2025年1月23日通过审批。主动配合生态环境执法部门现场检查。所在区域满归镇环境容量大、人口密度低，对周边环境影响较小。符合《内蒙古自治区生态环境系统行政处罚裁量基准规定》第八条依法从轻处罚情形，按照第二十一条第三款的规定，在拟定的处罚金额（62.2442万元）的基础上减少法定最高罚款金额（100万元）的20%，即（62.2442万元—100万元×20%=42.2442万元)。</w:t>
      </w:r>
    </w:p>
    <w:p>
      <w:pPr>
        <w:keepNext w:val="0"/>
        <w:keepLines w:val="0"/>
        <w:pageBreakBefore w:val="0"/>
        <w:widowControl w:val="0"/>
        <w:kinsoku/>
        <w:wordWrap/>
        <w:overflowPunct/>
        <w:topLinePunct w:val="0"/>
        <w:autoSpaceDE/>
        <w:autoSpaceDN/>
        <w:bidi w:val="0"/>
        <w:spacing w:line="264" w:lineRule="auto"/>
        <w:ind w:right="0" w:rightChars="0" w:firstLine="420" w:firstLineChars="200"/>
        <w:jc w:val="both"/>
        <w:textAlignment w:val="auto"/>
        <w:outlineLvl w:val="9"/>
        <w:rPr>
          <w:rFonts w:hint="eastAsia" w:ascii="宋体" w:hAnsi="宋体" w:eastAsia="宋体" w:cs="宋体"/>
          <w:color w:val="000000" w:themeColor="text1"/>
          <w:sz w:val="21"/>
          <w:szCs w:val="21"/>
          <w:u w:val="none"/>
          <w:lang w:val="en-US" w:eastAsia="zh-CN"/>
          <w14:textFill>
            <w14:solidFill>
              <w14:schemeClr w14:val="tx1"/>
            </w14:solidFill>
          </w14:textFill>
        </w:rPr>
      </w:pPr>
      <w:r>
        <w:rPr>
          <w:rFonts w:hint="eastAsia" w:ascii="宋体" w:hAnsi="宋体" w:eastAsia="宋体" w:cs="宋体"/>
          <w:color w:val="000000" w:themeColor="text1"/>
          <w:sz w:val="21"/>
          <w:szCs w:val="21"/>
          <w:u w:val="none"/>
          <w:lang w:val="en-US" w:eastAsia="zh-CN"/>
          <w14:textFill>
            <w14:solidFill>
              <w14:schemeClr w14:val="tx1"/>
            </w14:solidFill>
          </w14:textFill>
        </w:rPr>
        <w:t>综上，我局决定对你单位处以如下行政处罚：</w:t>
      </w:r>
    </w:p>
    <w:p>
      <w:pPr>
        <w:keepNext w:val="0"/>
        <w:keepLines w:val="0"/>
        <w:pageBreakBefore w:val="0"/>
        <w:widowControl w:val="0"/>
        <w:numPr>
          <w:ilvl w:val="0"/>
          <w:numId w:val="0"/>
        </w:numPr>
        <w:kinsoku/>
        <w:wordWrap/>
        <w:overflowPunct/>
        <w:topLinePunct w:val="0"/>
        <w:autoSpaceDE/>
        <w:autoSpaceDN/>
        <w:bidi w:val="0"/>
        <w:spacing w:line="240" w:lineRule="auto"/>
        <w:ind w:firstLine="420" w:firstLineChars="200"/>
        <w:jc w:val="both"/>
        <w:textAlignment w:val="auto"/>
        <w:rPr>
          <w:rFonts w:hint="eastAsia" w:ascii="宋体" w:hAnsi="宋体" w:eastAsia="宋体" w:cs="宋体"/>
          <w:color w:val="000000" w:themeColor="text1"/>
          <w:spacing w:val="-21"/>
          <w14:textFill>
            <w14:solidFill>
              <w14:schemeClr w14:val="tx1"/>
            </w14:solidFill>
          </w14:textFill>
        </w:rPr>
      </w:pPr>
      <w:r>
        <w:rPr>
          <w:rFonts w:hint="eastAsia" w:ascii="宋体" w:hAnsi="宋体" w:eastAsia="宋体" w:cs="宋体"/>
          <w:snapToGrid w:val="0"/>
          <w:color w:val="000000" w:themeColor="text1"/>
          <w:kern w:val="0"/>
          <w:sz w:val="21"/>
          <w:szCs w:val="21"/>
          <w:lang w:val="en-US" w:eastAsia="zh-CN" w:bidi="ar-SA"/>
          <w14:textFill>
            <w14:solidFill>
              <w14:schemeClr w14:val="tx1"/>
            </w14:solidFill>
          </w14:textFill>
        </w:rPr>
        <w:t>罚款人民币：肆拾贰万贰仟肆佰肆拾贰元（¥422,442.00元）。</w:t>
      </w:r>
    </w:p>
    <w:p>
      <w:pPr>
        <w:keepNext w:val="0"/>
        <w:keepLines w:val="0"/>
        <w:pageBreakBefore w:val="0"/>
        <w:widowControl w:val="0"/>
        <w:kinsoku/>
        <w:wordWrap/>
        <w:overflowPunct/>
        <w:topLinePunct w:val="0"/>
        <w:autoSpaceDE/>
        <w:autoSpaceDN/>
        <w:bidi w:val="0"/>
        <w:spacing w:line="264" w:lineRule="auto"/>
        <w:ind w:right="0" w:rightChars="0" w:firstLine="420" w:firstLineChars="200"/>
        <w:jc w:val="both"/>
        <w:textAlignment w:val="auto"/>
        <w:outlineLvl w:val="9"/>
        <w:rPr>
          <w:rFonts w:hint="eastAsia" w:ascii="宋体" w:hAnsi="宋体" w:eastAsia="宋体" w:cs="宋体"/>
          <w:color w:val="000000" w:themeColor="text1"/>
          <w:sz w:val="21"/>
          <w:szCs w:val="21"/>
          <w:u w:val="none"/>
          <w:lang w:val="en-US" w:eastAsia="zh-CN"/>
          <w14:textFill>
            <w14:solidFill>
              <w14:schemeClr w14:val="tx1"/>
            </w14:solidFill>
          </w14:textFill>
        </w:rPr>
      </w:pPr>
      <w:r>
        <w:rPr>
          <w:rFonts w:hint="eastAsia" w:ascii="宋体" w:hAnsi="宋体" w:eastAsia="宋体" w:cs="宋体"/>
          <w:color w:val="000000" w:themeColor="text1"/>
          <w:sz w:val="21"/>
          <w:szCs w:val="21"/>
          <w:u w:val="none"/>
          <w:lang w:val="en-US" w:eastAsia="zh-CN"/>
          <w14:textFill>
            <w14:solidFill>
              <w14:schemeClr w14:val="tx1"/>
            </w14:solidFill>
          </w14:textFill>
        </w:rPr>
        <w:t>限你公司于接到本处罚决定之日起十五日内至呼伦贝尔市生态环境局根河市分局领取《内蒙古自治区非税收入缴款通知书》并缴纳罚款，逾期不缴纳罚款，我局可以依据《中华人民共和国行政处罚法》第七十二条第一款第一项规定每日按罚款数额的百分之三加处罚款。</w:t>
      </w:r>
    </w:p>
    <w:p>
      <w:pPr>
        <w:keepNext w:val="0"/>
        <w:keepLines w:val="0"/>
        <w:pageBreakBefore w:val="0"/>
        <w:widowControl w:val="0"/>
        <w:kinsoku/>
        <w:wordWrap/>
        <w:overflowPunct/>
        <w:topLinePunct w:val="0"/>
        <w:autoSpaceDE/>
        <w:autoSpaceDN/>
        <w:bidi w:val="0"/>
        <w:spacing w:line="264" w:lineRule="auto"/>
        <w:ind w:right="0" w:rightChars="0" w:firstLine="420" w:firstLineChars="200"/>
        <w:jc w:val="both"/>
        <w:textAlignment w:val="auto"/>
        <w:outlineLvl w:val="9"/>
        <w:rPr>
          <w:rFonts w:hint="eastAsia" w:ascii="宋体" w:hAnsi="宋体" w:eastAsia="宋体" w:cs="宋体"/>
          <w:color w:val="000000" w:themeColor="text1"/>
          <w:sz w:val="21"/>
          <w:szCs w:val="21"/>
          <w:u w:val="none"/>
          <w:lang w:val="en-US" w:eastAsia="zh-CN"/>
          <w14:textFill>
            <w14:solidFill>
              <w14:schemeClr w14:val="tx1"/>
            </w14:solidFill>
          </w14:textFill>
        </w:rPr>
      </w:pPr>
      <w:r>
        <w:rPr>
          <w:rFonts w:hint="eastAsia" w:ascii="宋体" w:hAnsi="宋体" w:eastAsia="宋体" w:cs="宋体"/>
          <w:color w:val="000000" w:themeColor="text1"/>
          <w:sz w:val="21"/>
          <w:szCs w:val="21"/>
          <w:u w:val="none"/>
          <w:lang w:val="en-US" w:eastAsia="zh-CN"/>
          <w14:textFill>
            <w14:solidFill>
              <w14:schemeClr w14:val="tx1"/>
            </w14:solidFill>
          </w14:textFill>
        </w:rPr>
        <w:t>你公司如不服本处罚决定，可在收到本处罚决定书之日起六十日内向呼伦贝尔市人民政府申请行政复议，也可以在六个月内向海拉尔铁路运输法院提起行政诉讼。申请行政复议或者提起行政诉讼，不停止行政处罚决定的执行。</w:t>
      </w:r>
    </w:p>
    <w:p>
      <w:pPr>
        <w:keepNext w:val="0"/>
        <w:keepLines w:val="0"/>
        <w:pageBreakBefore w:val="0"/>
        <w:widowControl w:val="0"/>
        <w:kinsoku/>
        <w:wordWrap/>
        <w:overflowPunct/>
        <w:topLinePunct w:val="0"/>
        <w:autoSpaceDE/>
        <w:autoSpaceDN/>
        <w:bidi w:val="0"/>
        <w:spacing w:line="264" w:lineRule="auto"/>
        <w:ind w:right="0" w:rightChars="0" w:firstLine="420" w:firstLineChars="200"/>
        <w:jc w:val="both"/>
        <w:textAlignment w:val="auto"/>
        <w:outlineLvl w:val="9"/>
        <w:rPr>
          <w:rFonts w:hint="eastAsia" w:ascii="宋体" w:hAnsi="宋体" w:eastAsia="宋体" w:cs="宋体"/>
          <w:color w:val="000000" w:themeColor="text1"/>
          <w:sz w:val="21"/>
          <w:szCs w:val="21"/>
          <w:u w:val="none"/>
          <w:lang w:val="en-US" w:eastAsia="zh-CN"/>
          <w14:textFill>
            <w14:solidFill>
              <w14:schemeClr w14:val="tx1"/>
            </w14:solidFill>
          </w14:textFill>
        </w:rPr>
      </w:pPr>
      <w:r>
        <w:rPr>
          <w:rFonts w:hint="eastAsia" w:ascii="宋体" w:hAnsi="宋体" w:eastAsia="宋体" w:cs="宋体"/>
          <w:color w:val="000000" w:themeColor="text1"/>
          <w:sz w:val="21"/>
          <w:szCs w:val="21"/>
          <w:u w:val="none"/>
          <w:lang w:val="en-US" w:eastAsia="zh-CN"/>
          <w14:textFill>
            <w14:solidFill>
              <w14:schemeClr w14:val="tx1"/>
            </w14:solidFill>
          </w14:textFill>
        </w:rPr>
        <w:t>逾期不申请行政复议，不提起行政诉讼，又不履行本处罚决定的，我局将依法申请人民法院强制执行。</w:t>
      </w:r>
    </w:p>
    <w:p>
      <w:pPr>
        <w:keepNext w:val="0"/>
        <w:keepLines w:val="0"/>
        <w:pageBreakBefore w:val="0"/>
        <w:widowControl w:val="0"/>
        <w:kinsoku/>
        <w:wordWrap/>
        <w:overflowPunct/>
        <w:topLinePunct w:val="0"/>
        <w:autoSpaceDE/>
        <w:autoSpaceDN/>
        <w:bidi w:val="0"/>
        <w:adjustRightInd w:val="0"/>
        <w:snapToGrid w:val="0"/>
        <w:spacing w:line="264" w:lineRule="auto"/>
        <w:ind w:left="4200" w:leftChars="2000" w:right="0" w:rightChars="0" w:firstLine="960" w:firstLineChars="400"/>
        <w:jc w:val="both"/>
        <w:textAlignment w:val="auto"/>
        <w:outlineLvl w:val="9"/>
        <w:rPr>
          <w:rFonts w:hint="eastAsia" w:asciiTheme="minorEastAsia" w:hAnsiTheme="minorEastAsia" w:eastAsiaTheme="minorEastAsia" w:cstheme="minorEastAsia"/>
          <w:sz w:val="24"/>
          <w:szCs w:val="24"/>
          <w:lang w:eastAsia="zh-CN"/>
        </w:rPr>
      </w:pPr>
    </w:p>
    <w:p>
      <w:pPr>
        <w:keepNext w:val="0"/>
        <w:keepLines w:val="0"/>
        <w:pageBreakBefore w:val="0"/>
        <w:widowControl w:val="0"/>
        <w:kinsoku/>
        <w:wordWrap/>
        <w:overflowPunct/>
        <w:topLinePunct w:val="0"/>
        <w:autoSpaceDE/>
        <w:autoSpaceDN/>
        <w:bidi w:val="0"/>
        <w:adjustRightInd w:val="0"/>
        <w:snapToGrid w:val="0"/>
        <w:spacing w:line="264" w:lineRule="auto"/>
        <w:ind w:left="4200" w:leftChars="2000" w:right="0" w:rightChars="0" w:firstLine="960" w:firstLineChars="400"/>
        <w:jc w:val="both"/>
        <w:textAlignment w:val="auto"/>
        <w:outlineLvl w:val="9"/>
        <w:rPr>
          <w:rFonts w:hint="eastAsia" w:asciiTheme="minorEastAsia" w:hAnsiTheme="minorEastAsia" w:eastAsiaTheme="minorEastAsia" w:cstheme="minorEastAsia"/>
          <w:sz w:val="24"/>
          <w:szCs w:val="24"/>
          <w:lang w:eastAsia="zh-CN"/>
        </w:rPr>
      </w:pPr>
    </w:p>
    <w:p>
      <w:pPr>
        <w:keepNext w:val="0"/>
        <w:keepLines w:val="0"/>
        <w:pageBreakBefore w:val="0"/>
        <w:widowControl w:val="0"/>
        <w:kinsoku/>
        <w:wordWrap/>
        <w:overflowPunct/>
        <w:topLinePunct w:val="0"/>
        <w:autoSpaceDE/>
        <w:autoSpaceDN/>
        <w:bidi w:val="0"/>
        <w:adjustRightInd w:val="0"/>
        <w:snapToGrid w:val="0"/>
        <w:spacing w:line="264" w:lineRule="auto"/>
        <w:ind w:left="4200" w:leftChars="2000" w:right="0" w:rightChars="0" w:firstLine="960" w:firstLineChars="400"/>
        <w:jc w:val="both"/>
        <w:textAlignment w:val="auto"/>
        <w:outlineLvl w:val="9"/>
        <w:rPr>
          <w:rFonts w:hint="eastAsia" w:asciiTheme="minorEastAsia" w:hAnsiTheme="minorEastAsia" w:eastAsiaTheme="minorEastAsia" w:cstheme="minorEastAsia"/>
          <w:sz w:val="24"/>
          <w:szCs w:val="24"/>
          <w:lang w:eastAsia="zh-CN"/>
        </w:rPr>
      </w:pPr>
    </w:p>
    <w:p>
      <w:pPr>
        <w:keepNext w:val="0"/>
        <w:keepLines w:val="0"/>
        <w:pageBreakBefore w:val="0"/>
        <w:widowControl w:val="0"/>
        <w:kinsoku/>
        <w:wordWrap/>
        <w:overflowPunct/>
        <w:topLinePunct w:val="0"/>
        <w:autoSpaceDE/>
        <w:autoSpaceDN/>
        <w:bidi w:val="0"/>
        <w:adjustRightInd w:val="0"/>
        <w:snapToGrid w:val="0"/>
        <w:spacing w:line="264" w:lineRule="auto"/>
        <w:ind w:right="0" w:rightChars="0" w:firstLine="6000" w:firstLineChars="2500"/>
        <w:jc w:val="both"/>
        <w:textAlignment w:val="auto"/>
        <w:outlineLvl w:val="9"/>
        <w:rPr>
          <w:rFonts w:hint="eastAsia" w:asciiTheme="minorEastAsia" w:hAnsiTheme="minorEastAsia" w:eastAsiaTheme="minorEastAsia" w:cstheme="minorEastAsia"/>
          <w:sz w:val="24"/>
          <w:szCs w:val="24"/>
          <w:lang w:eastAsia="zh-CN"/>
        </w:rPr>
      </w:pPr>
    </w:p>
    <w:p>
      <w:pPr>
        <w:keepNext w:val="0"/>
        <w:keepLines w:val="0"/>
        <w:pageBreakBefore w:val="0"/>
        <w:widowControl w:val="0"/>
        <w:kinsoku/>
        <w:wordWrap/>
        <w:overflowPunct/>
        <w:topLinePunct w:val="0"/>
        <w:autoSpaceDE/>
        <w:autoSpaceDN/>
        <w:bidi w:val="0"/>
        <w:spacing w:line="264" w:lineRule="auto"/>
        <w:ind w:right="0" w:rightChars="0" w:firstLine="4830" w:firstLineChars="2300"/>
        <w:jc w:val="both"/>
        <w:textAlignment w:val="auto"/>
        <w:outlineLvl w:val="9"/>
        <w:rPr>
          <w:rFonts w:hint="eastAsia" w:ascii="宋体" w:hAnsi="宋体" w:eastAsia="宋体" w:cs="宋体"/>
          <w:color w:val="000000" w:themeColor="text1"/>
          <w:sz w:val="21"/>
          <w:szCs w:val="21"/>
          <w:u w:val="none"/>
          <w:lang w:val="en-US" w:eastAsia="zh-CN"/>
          <w14:textFill>
            <w14:solidFill>
              <w14:schemeClr w14:val="tx1"/>
            </w14:solidFill>
          </w14:textFill>
        </w:rPr>
      </w:pPr>
      <w:r>
        <w:rPr>
          <w:rFonts w:hint="eastAsia" w:ascii="宋体" w:hAnsi="宋体" w:eastAsia="宋体" w:cs="宋体"/>
          <w:color w:val="000000" w:themeColor="text1"/>
          <w:sz w:val="21"/>
          <w:szCs w:val="21"/>
          <w:u w:val="none"/>
          <w:lang w:val="en-US" w:eastAsia="zh-CN"/>
          <w14:textFill>
            <w14:solidFill>
              <w14:schemeClr w14:val="tx1"/>
            </w14:solidFill>
          </w14:textFill>
        </w:rPr>
        <w:t>呼伦贝尔市生态环境局</w:t>
      </w:r>
    </w:p>
    <w:p>
      <w:pPr>
        <w:keepNext w:val="0"/>
        <w:keepLines w:val="0"/>
        <w:pageBreakBefore w:val="0"/>
        <w:widowControl w:val="0"/>
        <w:kinsoku/>
        <w:wordWrap/>
        <w:overflowPunct/>
        <w:topLinePunct w:val="0"/>
        <w:autoSpaceDE/>
        <w:autoSpaceDN/>
        <w:bidi w:val="0"/>
        <w:spacing w:line="264" w:lineRule="auto"/>
        <w:ind w:right="0" w:rightChars="0" w:firstLine="5040" w:firstLineChars="2400"/>
        <w:jc w:val="both"/>
        <w:textAlignment w:val="auto"/>
        <w:outlineLvl w:val="9"/>
        <w:rPr>
          <w:rFonts w:hint="eastAsia" w:ascii="宋体" w:hAnsi="宋体" w:eastAsia="宋体" w:cs="宋体"/>
          <w:color w:val="000000" w:themeColor="text1"/>
          <w:sz w:val="21"/>
          <w:szCs w:val="21"/>
          <w:u w:val="none"/>
          <w:lang w:val="en-US" w:eastAsia="zh-CN"/>
          <w14:textFill>
            <w14:solidFill>
              <w14:schemeClr w14:val="tx1"/>
            </w14:solidFill>
          </w14:textFill>
        </w:rPr>
      </w:pPr>
      <w:r>
        <w:rPr>
          <w:rFonts w:hint="eastAsia" w:ascii="宋体" w:hAnsi="宋体" w:eastAsia="宋体" w:cs="宋体"/>
          <w:color w:val="000000" w:themeColor="text1"/>
          <w:sz w:val="21"/>
          <w:szCs w:val="21"/>
          <w:u w:val="none"/>
          <w:lang w:val="en-US" w:eastAsia="zh-CN"/>
          <w14:textFill>
            <w14:solidFill>
              <w14:schemeClr w14:val="tx1"/>
            </w14:solidFill>
          </w14:textFill>
        </w:rPr>
        <w:t xml:space="preserve"> 2025年6月23日</w:t>
      </w:r>
      <w:bookmarkStart w:id="0" w:name="_GoBack"/>
      <w:bookmarkEnd w:id="0"/>
    </w:p>
    <w:p>
      <w:pPr>
        <w:pStyle w:val="2"/>
        <w:rPr>
          <w:rFonts w:hint="eastAsia" w:asciiTheme="minorEastAsia" w:hAnsiTheme="minorEastAsia" w:cstheme="minorEastAsia"/>
          <w:sz w:val="21"/>
          <w:szCs w:val="21"/>
          <w:u w:val="none"/>
          <w:lang w:val="en-US" w:eastAsia="zh-CN"/>
        </w:rPr>
      </w:pPr>
    </w:p>
    <w:p>
      <w:pPr>
        <w:pStyle w:val="5"/>
        <w:keepNext w:val="0"/>
        <w:keepLines w:val="0"/>
        <w:pageBreakBefore w:val="0"/>
        <w:kinsoku/>
        <w:overflowPunct/>
        <w:topLinePunct w:val="0"/>
        <w:autoSpaceDE/>
        <w:autoSpaceDN/>
        <w:bidi w:val="0"/>
        <w:adjustRightInd w:val="0"/>
        <w:snapToGrid w:val="0"/>
        <w:spacing w:line="240" w:lineRule="atLeast"/>
        <w:jc w:val="center"/>
        <w:textAlignment w:val="auto"/>
        <w:rPr>
          <w:rFonts w:hint="eastAsia" w:asciiTheme="minorEastAsia" w:hAnsiTheme="minorEastAsia" w:eastAsiaTheme="minorEastAsia" w:cstheme="minorEastAsia"/>
          <w:kern w:val="2"/>
          <w:sz w:val="21"/>
          <w:szCs w:val="21"/>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GEyMWNiOGY0NDVkNzhhMDJjMGM1MjA2MjhmOTBkMjUifQ=="/>
  </w:docVars>
  <w:rsids>
    <w:rsidRoot w:val="00000000"/>
    <w:rsid w:val="00E9730F"/>
    <w:rsid w:val="0E462B3D"/>
    <w:rsid w:val="18324F5E"/>
    <w:rsid w:val="194B123F"/>
    <w:rsid w:val="1B5651CC"/>
    <w:rsid w:val="1CB208E5"/>
    <w:rsid w:val="1D5C2B56"/>
    <w:rsid w:val="1DF96D3A"/>
    <w:rsid w:val="296800EB"/>
    <w:rsid w:val="2AA9655D"/>
    <w:rsid w:val="2C3E45C3"/>
    <w:rsid w:val="2E2B755B"/>
    <w:rsid w:val="355D0D11"/>
    <w:rsid w:val="35AD63BF"/>
    <w:rsid w:val="36211167"/>
    <w:rsid w:val="425528B3"/>
    <w:rsid w:val="4BDA4326"/>
    <w:rsid w:val="4C074DD7"/>
    <w:rsid w:val="72D640DC"/>
    <w:rsid w:val="751E1B46"/>
    <w:rsid w:val="797E49E9"/>
    <w:rsid w:val="7D1E1751"/>
    <w:rsid w:val="7FAE711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4">
    <w:name w:val="Normal Table"/>
    <w:semiHidden/>
    <w:qFormat/>
    <w:uiPriority w:val="0"/>
    <w:tblPr>
      <w:tblLayout w:type="fixed"/>
      <w:tblCellMar>
        <w:top w:w="0" w:type="dxa"/>
        <w:left w:w="108" w:type="dxa"/>
        <w:bottom w:w="0" w:type="dxa"/>
        <w:right w:w="108" w:type="dxa"/>
      </w:tblCellMar>
    </w:tblPr>
  </w:style>
  <w:style w:type="paragraph" w:styleId="2">
    <w:name w:val="Body Text"/>
    <w:basedOn w:val="1"/>
    <w:unhideWhenUsed/>
    <w:qFormat/>
    <w:uiPriority w:val="99"/>
    <w:pPr>
      <w:widowControl/>
      <w:spacing w:before="100" w:beforeAutospacing="1" w:after="100" w:afterAutospacing="1"/>
      <w:jc w:val="left"/>
    </w:pPr>
    <w:rPr>
      <w:rFonts w:ascii="宋体" w:hAnsi="宋体" w:cs="宋体"/>
      <w:sz w:val="24"/>
    </w:rPr>
  </w:style>
  <w:style w:type="paragraph" w:customStyle="1" w:styleId="5">
    <w:name w:val="Plain Text"/>
    <w:basedOn w:val="1"/>
    <w:qFormat/>
    <w:uiPriority w:val="0"/>
    <w:rPr>
      <w:rFonts w:ascii="宋体" w:hAnsi="Courier New"/>
      <w:kern w:val="2"/>
      <w:sz w:val="21"/>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3</Pages>
  <Words>3165</Words>
  <Characters>3311</Characters>
  <Lines>0</Lines>
  <Paragraphs>0</Paragraphs>
  <TotalTime>3</TotalTime>
  <ScaleCrop>false</ScaleCrop>
  <LinksUpToDate>false</LinksUpToDate>
  <CharactersWithSpaces>3420</CharactersWithSpaces>
  <Application>WPS Office_10.1.0.7346_F1E327BC-269C-435d-A152-05C5408002CA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Administrator</dc:creator>
  <cp:lastModifiedBy>Administrator</cp:lastModifiedBy>
  <cp:lastPrinted>2025-06-19T02:39:00Z</cp:lastPrinted>
  <dcterms:modified xsi:type="dcterms:W3CDTF">2025-06-19T07:21:28Z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2052-10.1.0.7346</vt:lpwstr>
  </property>
  <property fmtid="{D5CDD505-2E9C-101B-9397-08002B2CF9AE}" pid="3" name="ICV">
    <vt:lpwstr>5989925AACFF4857A8B5FB5F9B2233E6_12</vt:lpwstr>
  </property>
</Properties>
</file>