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4A76EE">
      <w:pPr>
        <w:spacing w:before="163" w:line="210" w:lineRule="auto"/>
        <w:ind w:left="2434"/>
        <w:rPr>
          <w:rFonts w:ascii="微软雅黑" w:hAnsi="微软雅黑" w:eastAsia="微软雅黑" w:cs="微软雅黑"/>
          <w:sz w:val="38"/>
          <w:szCs w:val="38"/>
        </w:rPr>
      </w:pPr>
      <w:r>
        <w:rPr>
          <w:rFonts w:hint="eastAsia" w:ascii="微软雅黑" w:hAnsi="微软雅黑" w:eastAsia="微软雅黑" w:cs="微软雅黑"/>
          <w:spacing w:val="19"/>
          <w:sz w:val="38"/>
          <w:szCs w:val="38"/>
          <w:lang w:val="en-US" w:eastAsia="zh-CN"/>
        </w:rPr>
        <w:t>呼伦贝尔市</w:t>
      </w:r>
      <w:r>
        <w:rPr>
          <w:rFonts w:ascii="微软雅黑" w:hAnsi="微软雅黑" w:eastAsia="微软雅黑" w:cs="微软雅黑"/>
          <w:spacing w:val="19"/>
          <w:sz w:val="38"/>
          <w:szCs w:val="38"/>
        </w:rPr>
        <w:t>生态环境局</w:t>
      </w:r>
    </w:p>
    <w:p w14:paraId="0AC50A0B">
      <w:pPr>
        <w:spacing w:before="2" w:line="211" w:lineRule="auto"/>
        <w:ind w:left="3103"/>
        <w:rPr>
          <w:rFonts w:ascii="微软雅黑" w:hAnsi="微软雅黑" w:eastAsia="微软雅黑" w:cs="微软雅黑"/>
          <w:sz w:val="38"/>
          <w:szCs w:val="38"/>
        </w:rPr>
      </w:pPr>
      <w:r>
        <w:rPr>
          <w:rFonts w:ascii="微软雅黑" w:hAnsi="微软雅黑" w:eastAsia="微软雅黑" w:cs="微软雅黑"/>
          <w:spacing w:val="-1"/>
          <w:sz w:val="38"/>
          <w:szCs w:val="38"/>
        </w:rPr>
        <w:t>行政处罚决定书</w:t>
      </w:r>
    </w:p>
    <w:p w14:paraId="14808D53">
      <w:pPr>
        <w:tabs>
          <w:tab w:val="left" w:pos="3703"/>
        </w:tabs>
        <w:spacing w:before="244" w:line="216" w:lineRule="auto"/>
        <w:ind w:firstLine="5400" w:firstLineChars="1800"/>
        <w:rPr>
          <w:rFonts w:hint="eastAsia" w:ascii="仿宋" w:hAnsi="仿宋" w:eastAsia="仿宋" w:cs="仿宋"/>
          <w:sz w:val="30"/>
          <w:szCs w:val="30"/>
        </w:rPr>
      </w:pPr>
      <w:r>
        <w:rPr>
          <w:rFonts w:hint="eastAsia" w:ascii="仿宋" w:hAnsi="仿宋" w:eastAsia="仿宋" w:cs="仿宋"/>
          <w:sz w:val="30"/>
          <w:szCs w:val="30"/>
          <w:u w:val="none" w:color="auto"/>
          <w:lang w:val="en-US" w:eastAsia="zh-CN"/>
        </w:rPr>
        <w:t>呼</w:t>
      </w:r>
      <w:r>
        <w:rPr>
          <w:rFonts w:hint="eastAsia" w:ascii="仿宋" w:hAnsi="仿宋" w:eastAsia="仿宋" w:cs="仿宋"/>
          <w:spacing w:val="-141"/>
          <w:sz w:val="30"/>
          <w:szCs w:val="30"/>
          <w:u w:val="none" w:color="auto"/>
        </w:rPr>
        <w:t xml:space="preserve"> </w:t>
      </w:r>
      <w:r>
        <w:rPr>
          <w:rFonts w:hint="eastAsia" w:ascii="仿宋" w:hAnsi="仿宋" w:eastAsia="仿宋" w:cs="仿宋"/>
          <w:spacing w:val="-12"/>
          <w:sz w:val="30"/>
          <w:szCs w:val="30"/>
        </w:rPr>
        <w:t>环罚〔</w:t>
      </w:r>
      <w:r>
        <w:rPr>
          <w:rFonts w:hint="eastAsia" w:ascii="仿宋" w:hAnsi="仿宋" w:eastAsia="仿宋" w:cs="仿宋"/>
          <w:spacing w:val="-12"/>
          <w:sz w:val="30"/>
          <w:szCs w:val="30"/>
          <w:lang w:val="en-US" w:eastAsia="zh-CN"/>
        </w:rPr>
        <w:t>2025</w:t>
      </w:r>
      <w:r>
        <w:rPr>
          <w:rFonts w:hint="eastAsia" w:ascii="仿宋" w:hAnsi="仿宋" w:eastAsia="仿宋" w:cs="仿宋"/>
          <w:spacing w:val="-12"/>
          <w:sz w:val="30"/>
          <w:szCs w:val="30"/>
        </w:rPr>
        <w:t>〕</w:t>
      </w:r>
      <w:r>
        <w:rPr>
          <w:rFonts w:hint="eastAsia" w:ascii="仿宋" w:hAnsi="仿宋" w:eastAsia="仿宋" w:cs="仿宋"/>
          <w:spacing w:val="-12"/>
          <w:sz w:val="30"/>
          <w:szCs w:val="30"/>
          <w:lang w:val="en-US" w:eastAsia="zh-CN"/>
        </w:rPr>
        <w:t>124</w:t>
      </w:r>
      <w:r>
        <w:rPr>
          <w:rFonts w:hint="eastAsia" w:ascii="仿宋" w:hAnsi="仿宋" w:eastAsia="仿宋" w:cs="仿宋"/>
          <w:spacing w:val="-12"/>
          <w:sz w:val="30"/>
          <w:szCs w:val="30"/>
        </w:rPr>
        <w:t>号</w:t>
      </w:r>
    </w:p>
    <w:p w14:paraId="2F2D485B">
      <w:pPr>
        <w:pStyle w:val="3"/>
        <w:spacing w:line="321" w:lineRule="auto"/>
        <w:rPr>
          <w:rFonts w:hint="eastAsia" w:ascii="仿宋" w:hAnsi="仿宋" w:eastAsia="仿宋" w:cs="仿宋"/>
          <w:sz w:val="30"/>
          <w:szCs w:val="30"/>
        </w:rPr>
      </w:pPr>
    </w:p>
    <w:p w14:paraId="2A1C99DC">
      <w:pPr>
        <w:spacing w:before="228" w:line="240" w:lineRule="auto"/>
        <w:rPr>
          <w:rFonts w:hint="eastAsia" w:ascii="仿宋" w:hAnsi="仿宋" w:eastAsia="仿宋" w:cs="仿宋"/>
          <w:spacing w:val="-5"/>
          <w:sz w:val="30"/>
          <w:szCs w:val="30"/>
          <w:lang w:val="en-US" w:eastAsia="zh-CN"/>
        </w:rPr>
      </w:pPr>
      <w:r>
        <w:rPr>
          <w:rFonts w:hint="eastAsia" w:ascii="仿宋" w:hAnsi="仿宋" w:eastAsia="仿宋" w:cs="仿宋"/>
          <w:spacing w:val="-31"/>
          <w:sz w:val="30"/>
          <w:szCs w:val="30"/>
        </w:rPr>
        <w:t>当事人名称</w:t>
      </w:r>
      <w:r>
        <w:rPr>
          <w:rFonts w:hint="eastAsia" w:ascii="仿宋" w:hAnsi="仿宋" w:eastAsia="仿宋" w:cs="仿宋"/>
          <w:spacing w:val="-31"/>
          <w:sz w:val="30"/>
          <w:szCs w:val="30"/>
          <w:lang w:val="en-US" w:eastAsia="zh-CN"/>
        </w:rPr>
        <w:t xml:space="preserve"> </w:t>
      </w:r>
      <w:r>
        <w:rPr>
          <w:rFonts w:hint="eastAsia" w:ascii="仿宋" w:hAnsi="仿宋" w:eastAsia="仿宋" w:cs="仿宋"/>
          <w:spacing w:val="-31"/>
          <w:sz w:val="30"/>
          <w:szCs w:val="30"/>
          <w:lang w:eastAsia="zh-CN"/>
        </w:rPr>
        <w:t>：</w:t>
      </w:r>
      <w:r>
        <w:rPr>
          <w:rFonts w:hint="eastAsia" w:ascii="仿宋" w:hAnsi="仿宋" w:eastAsia="仿宋" w:cs="仿宋"/>
          <w:spacing w:val="-5"/>
          <w:sz w:val="30"/>
          <w:szCs w:val="30"/>
          <w:lang w:val="en-US" w:eastAsia="zh-CN"/>
        </w:rPr>
        <w:t>内蒙古鸿晟矿业有限公司</w:t>
      </w:r>
    </w:p>
    <w:p w14:paraId="1AB51AB4">
      <w:pPr>
        <w:spacing w:before="228" w:line="240" w:lineRule="auto"/>
        <w:rPr>
          <w:rFonts w:hint="eastAsia" w:ascii="仿宋" w:hAnsi="仿宋" w:eastAsia="仿宋" w:cs="仿宋"/>
          <w:spacing w:val="-5"/>
          <w:sz w:val="30"/>
          <w:szCs w:val="30"/>
          <w:lang w:val="en-US" w:eastAsia="zh-CN"/>
        </w:rPr>
      </w:pPr>
      <w:r>
        <w:rPr>
          <w:rFonts w:hint="eastAsia" w:ascii="仿宋" w:hAnsi="仿宋" w:eastAsia="仿宋" w:cs="仿宋"/>
          <w:spacing w:val="-5"/>
          <w:sz w:val="30"/>
          <w:szCs w:val="30"/>
          <w:lang w:val="en-US" w:eastAsia="zh-CN"/>
        </w:rPr>
        <w:t>法定代表人 ：齐艳玲</w:t>
      </w:r>
    </w:p>
    <w:p w14:paraId="206F12F6">
      <w:pPr>
        <w:spacing w:before="228" w:line="240" w:lineRule="auto"/>
        <w:rPr>
          <w:rFonts w:hint="eastAsia" w:ascii="仿宋" w:hAnsi="仿宋" w:eastAsia="仿宋" w:cs="仿宋"/>
          <w:spacing w:val="-5"/>
          <w:sz w:val="30"/>
          <w:szCs w:val="30"/>
          <w:lang w:val="en-US" w:eastAsia="zh-CN"/>
        </w:rPr>
      </w:pPr>
      <w:r>
        <w:rPr>
          <w:rFonts w:hint="eastAsia" w:ascii="仿宋" w:hAnsi="仿宋" w:eastAsia="仿宋" w:cs="仿宋"/>
          <w:spacing w:val="-5"/>
          <w:sz w:val="30"/>
          <w:szCs w:val="30"/>
          <w:lang w:val="en-US" w:eastAsia="zh-CN"/>
        </w:rPr>
        <w:t>统一社会信用代码 ：91150727MACMJC806W</w:t>
      </w:r>
    </w:p>
    <w:p w14:paraId="10C6E3EF">
      <w:pPr>
        <w:spacing w:before="228" w:line="240" w:lineRule="auto"/>
        <w:rPr>
          <w:rFonts w:hint="eastAsia" w:ascii="仿宋" w:hAnsi="仿宋" w:eastAsia="仿宋" w:cs="仿宋"/>
          <w:spacing w:val="-5"/>
          <w:sz w:val="30"/>
          <w:szCs w:val="30"/>
          <w:lang w:val="en-US" w:eastAsia="zh-CN"/>
        </w:rPr>
      </w:pPr>
      <w:r>
        <w:rPr>
          <w:rFonts w:hint="eastAsia" w:ascii="仿宋" w:hAnsi="仿宋" w:eastAsia="仿宋" w:cs="仿宋"/>
          <w:spacing w:val="-5"/>
          <w:sz w:val="30"/>
          <w:szCs w:val="30"/>
          <w:lang w:val="en-US" w:eastAsia="zh-CN"/>
        </w:rPr>
        <w:t>地  址  ：新巴尔虎右旗克尔伦苏木其其格勒嘎查内蒙古鸿晟矿业有限公司</w:t>
      </w:r>
    </w:p>
    <w:p w14:paraId="190271F5">
      <w:pPr>
        <w:spacing w:before="228" w:line="360" w:lineRule="auto"/>
        <w:ind w:firstLine="580" w:firstLineChars="200"/>
        <w:rPr>
          <w:rFonts w:hint="eastAsia" w:ascii="仿宋" w:hAnsi="仿宋" w:eastAsia="仿宋" w:cs="仿宋"/>
          <w:sz w:val="30"/>
          <w:szCs w:val="30"/>
          <w:u w:val="none" w:color="auto"/>
          <w:lang w:val="en-US" w:eastAsia="zh-CN"/>
        </w:rPr>
      </w:pPr>
      <w:r>
        <w:rPr>
          <w:rFonts w:hint="eastAsia" w:ascii="仿宋" w:hAnsi="仿宋" w:eastAsia="仿宋" w:cs="仿宋"/>
          <w:spacing w:val="-5"/>
          <w:sz w:val="30"/>
          <w:szCs w:val="30"/>
          <w:lang w:val="en-US" w:eastAsia="zh-CN"/>
        </w:rPr>
        <w:t>2025年9月11日，接到《全国生态环境信访投诉举报管理平台》投诉举报后，2025年9月12日、9月18日、9月28日新巴尔虎右旗生态环境综合行政执法大队执法人员卢历刚、吴全喜对你（公司）进行现场调查，发现</w:t>
      </w:r>
      <w:r>
        <w:rPr>
          <w:rFonts w:hint="eastAsia" w:ascii="仿宋" w:hAnsi="仿宋" w:eastAsia="仿宋" w:cs="仿宋"/>
          <w:sz w:val="30"/>
          <w:szCs w:val="30"/>
          <w:u w:val="none" w:color="auto"/>
          <w:lang w:val="en-US" w:eastAsia="zh-CN"/>
        </w:rPr>
        <w:t>你（公司）实施了以下环境违法行为：</w:t>
      </w:r>
    </w:p>
    <w:p w14:paraId="77C7989E">
      <w:pPr>
        <w:pStyle w:val="3"/>
        <w:tabs>
          <w:tab w:val="left" w:pos="8844"/>
        </w:tabs>
        <w:spacing w:before="139" w:line="360" w:lineRule="auto"/>
        <w:ind w:firstLine="580" w:firstLineChars="200"/>
        <w:jc w:val="both"/>
        <w:rPr>
          <w:rFonts w:hint="eastAsia" w:ascii="仿宋" w:hAnsi="仿宋" w:eastAsia="仿宋" w:cs="仿宋"/>
          <w:sz w:val="30"/>
          <w:szCs w:val="30"/>
          <w:lang w:eastAsia="zh-CN"/>
        </w:rPr>
      </w:pPr>
      <w:r>
        <w:rPr>
          <w:rFonts w:hint="eastAsia" w:ascii="仿宋" w:hAnsi="仿宋" w:eastAsia="仿宋" w:cs="仿宋"/>
          <w:snapToGrid w:val="0"/>
          <w:color w:val="000000"/>
          <w:spacing w:val="-5"/>
          <w:kern w:val="0"/>
          <w:sz w:val="30"/>
          <w:szCs w:val="30"/>
          <w:lang w:val="en-US" w:eastAsia="zh-CN" w:bidi="ar-SA"/>
        </w:rPr>
        <w:t>你（公司）原料堆存场地堆存铅锌银原矿石1603.95吨左右，产品库里堆存铅精粉200吨左右，尾矿露天堆存于制砖生产车间南侧（闭库克尔伦萤石矿尾矿库区域内）3000吨左右。查阅生产交接班记录表，你公司铅锌银矿浮选加工改造工程建设项目完成后，于2025年9月1日至9月11日调试设备期间，共计加工铅锌银矿石3539吨，生产铅精粉395.69吨。2023年11月新右旗人民政府按照《内蒙古行政事业单位固定资产管理办法》的规定，将选矿相关资产划转至旗属国有企业，进行市场化运营，2025年3月你公司开始接管运营原新巴尔虎右旗隆利源矿业有限责任公司萤石深加工项目。铅锌银矿石浮选加工项目于8月份改造完成，原尾矿库已闭库，新建项目不涉及新建设尾矿库。9月铅锌银矿石浮选加工项目投入运行，铅锌银矿石浮选加工项目未重新</w:t>
      </w:r>
      <w:r>
        <w:rPr>
          <w:rFonts w:hint="eastAsia" w:ascii="仿宋" w:hAnsi="仿宋" w:eastAsia="仿宋" w:cs="仿宋"/>
          <w:spacing w:val="-5"/>
          <w:sz w:val="30"/>
          <w:szCs w:val="30"/>
          <w:lang w:val="en-US" w:eastAsia="zh-CN"/>
        </w:rPr>
        <w:t>报批建设项目的环境影响评价文件</w:t>
      </w:r>
      <w:r>
        <w:rPr>
          <w:rFonts w:hint="eastAsia" w:ascii="仿宋" w:hAnsi="仿宋" w:eastAsia="仿宋" w:cs="仿宋"/>
          <w:snapToGrid w:val="0"/>
          <w:color w:val="000000"/>
          <w:spacing w:val="-5"/>
          <w:kern w:val="0"/>
          <w:sz w:val="30"/>
          <w:szCs w:val="30"/>
          <w:lang w:val="en-US" w:eastAsia="zh-CN" w:bidi="ar-SA"/>
        </w:rPr>
        <w:t>。</w:t>
      </w:r>
      <w:r>
        <w:rPr>
          <w:rFonts w:hint="eastAsia" w:ascii="仿宋" w:hAnsi="仿宋" w:eastAsia="仿宋" w:cs="仿宋"/>
          <w:spacing w:val="-5"/>
          <w:sz w:val="30"/>
          <w:szCs w:val="30"/>
          <w:lang w:val="en-US" w:eastAsia="zh-CN"/>
        </w:rPr>
        <w:t xml:space="preserve">你（公司）上述行为存在建设项目的环境影响评价文件经批准后，建设项目的性质、防治污染、防止生态破坏的措施发生重大变动的，未重新报批建设项目的环境影响评价文件行为。 </w:t>
      </w:r>
    </w:p>
    <w:p w14:paraId="43F057D0">
      <w:pPr>
        <w:spacing w:before="232" w:line="360" w:lineRule="auto"/>
        <w:ind w:firstLine="600" w:firstLineChars="200"/>
        <w:rPr>
          <w:rFonts w:hint="eastAsia" w:ascii="仿宋" w:hAnsi="仿宋" w:eastAsia="仿宋" w:cs="仿宋"/>
          <w:sz w:val="30"/>
          <w:szCs w:val="30"/>
          <w:u w:val="none" w:color="auto"/>
          <w:lang w:val="en-US" w:eastAsia="zh-CN"/>
        </w:rPr>
      </w:pPr>
      <w:r>
        <w:rPr>
          <w:rFonts w:hint="eastAsia" w:ascii="仿宋" w:hAnsi="仿宋" w:eastAsia="仿宋" w:cs="仿宋"/>
          <w:sz w:val="30"/>
          <w:szCs w:val="30"/>
          <w:u w:val="none" w:color="auto"/>
          <w:lang w:val="en-US" w:eastAsia="zh-CN"/>
        </w:rPr>
        <w:t>以上事实，有以下主要证据证明：有调查询问笔录、现场检查笔录（8页）企业总经理刘伯涛证言，证明你公司铅锌银矿浮选建设项目</w:t>
      </w:r>
      <w:r>
        <w:rPr>
          <w:rFonts w:hint="eastAsia" w:ascii="仿宋" w:hAnsi="仿宋" w:eastAsia="仿宋" w:cs="仿宋"/>
          <w:spacing w:val="-5"/>
          <w:sz w:val="30"/>
          <w:szCs w:val="30"/>
          <w:lang w:val="en-US" w:eastAsia="zh-CN"/>
        </w:rPr>
        <w:t>的性质、防治污染、防止生态破坏的措施发生重大变动的</w:t>
      </w:r>
      <w:r>
        <w:rPr>
          <w:rFonts w:hint="eastAsia" w:ascii="仿宋" w:hAnsi="仿宋" w:eastAsia="仿宋" w:cs="仿宋"/>
          <w:sz w:val="30"/>
          <w:szCs w:val="30"/>
          <w:u w:val="none" w:color="auto"/>
          <w:lang w:val="en-US" w:eastAsia="zh-CN"/>
        </w:rPr>
        <w:t>，未重新报批建设项目的环境影响评价文件情况；现场取证照片（3张）证明你公司铅锌银矿浮选加工改造工程建设项目完成后，已进行设备调试生产情况；3、执法影像资料光盘（1张）证明我局执法人员执法全过程现场情况；4、现场取证资料（4份）证明：你公司铅锌银矿浮选建设项目建设项目的性质、</w:t>
      </w:r>
      <w:r>
        <w:rPr>
          <w:rFonts w:hint="eastAsia" w:ascii="仿宋" w:hAnsi="仿宋" w:eastAsia="仿宋" w:cs="仿宋"/>
          <w:spacing w:val="-5"/>
          <w:sz w:val="30"/>
          <w:szCs w:val="30"/>
          <w:lang w:val="en-US" w:eastAsia="zh-CN"/>
        </w:rPr>
        <w:t>防治污染、防止生态破坏的措施发生重大变动的</w:t>
      </w:r>
      <w:r>
        <w:rPr>
          <w:rFonts w:hint="eastAsia" w:ascii="仿宋" w:hAnsi="仿宋" w:eastAsia="仿宋" w:cs="仿宋"/>
          <w:sz w:val="30"/>
          <w:szCs w:val="30"/>
          <w:u w:val="none" w:color="auto"/>
          <w:lang w:val="en-US" w:eastAsia="zh-CN"/>
        </w:rPr>
        <w:t>，未重新报批建设项目的环境影响评价文件情况；调试阶段生产记录情况；资产评估总投资认定情况。</w:t>
      </w:r>
      <w:r>
        <w:rPr>
          <w:rFonts w:hint="eastAsia" w:ascii="仿宋" w:hAnsi="仿宋" w:eastAsia="仿宋" w:cs="仿宋"/>
          <w:sz w:val="30"/>
          <w:szCs w:val="30"/>
          <w:lang w:val="en-US" w:eastAsia="zh-CN"/>
        </w:rPr>
        <w:t xml:space="preserve">                                       </w:t>
      </w:r>
    </w:p>
    <w:p w14:paraId="4CB022AA">
      <w:pPr>
        <w:spacing w:before="232" w:line="360" w:lineRule="auto"/>
        <w:ind w:firstLine="600" w:firstLineChars="200"/>
        <w:rPr>
          <w:rFonts w:hint="eastAsia" w:ascii="仿宋" w:hAnsi="仿宋" w:eastAsia="仿宋" w:cs="仿宋"/>
          <w:sz w:val="30"/>
          <w:szCs w:val="30"/>
          <w:u w:val="none" w:color="auto"/>
          <w:lang w:val="en-US" w:eastAsia="zh-CN"/>
        </w:rPr>
      </w:pPr>
      <w:r>
        <w:rPr>
          <w:rFonts w:hint="eastAsia" w:ascii="仿宋" w:hAnsi="仿宋" w:eastAsia="仿宋" w:cs="仿宋"/>
          <w:sz w:val="30"/>
          <w:szCs w:val="30"/>
          <w:u w:val="none" w:color="auto"/>
          <w:lang w:val="en-US" w:eastAsia="zh-CN"/>
        </w:rPr>
        <w:t>你（公司）上述行为违反了《中华人民共和国环境影响评价法》第二十四条规定：建设项目的环境影响评价文件经批准后，建设项目的性质、规模、地点、采用的生产工艺或者防治污染、防止生态破坏的措施发生重大变动的，建设单位应当重新报批建设项目的环境影响评价文件。</w:t>
      </w:r>
    </w:p>
    <w:p w14:paraId="24450141">
      <w:pPr>
        <w:spacing w:before="232" w:line="360" w:lineRule="auto"/>
        <w:ind w:firstLine="600" w:firstLineChars="200"/>
        <w:rPr>
          <w:rFonts w:hint="eastAsia" w:ascii="仿宋" w:hAnsi="仿宋" w:eastAsia="仿宋" w:cs="仿宋"/>
          <w:sz w:val="30"/>
          <w:szCs w:val="30"/>
          <w:u w:val="none" w:color="auto"/>
          <w:lang w:val="en-US" w:eastAsia="zh-CN"/>
        </w:rPr>
      </w:pPr>
      <w:r>
        <w:rPr>
          <w:rFonts w:hint="eastAsia" w:ascii="仿宋" w:hAnsi="仿宋" w:eastAsia="仿宋" w:cs="仿宋"/>
          <w:sz w:val="30"/>
          <w:szCs w:val="30"/>
          <w:u w:val="none" w:color="auto"/>
          <w:lang w:val="en-US" w:eastAsia="zh-CN"/>
        </w:rPr>
        <w:t>依据《中华人民共和国环境影响评价法》第三十一条第一款规定：　建设单位未依法报批建设项目环境影响报告书、报告表，或者未依照本法第二十四条的规定重新报批或者报请重新审核环境影响报告书、报告表，擅自开工建设的，由县级以上生态环境主管部门责令停止建设，根据违法情节和危害后果，处建设项目总投资额百分之一以上百分之五以下的罚款，并可以责令恢复原状；对建设单位直接负责的主管人员和其他直接责任人员，依法给予行政处分。</w:t>
      </w:r>
    </w:p>
    <w:p w14:paraId="05D21CF0">
      <w:pPr>
        <w:spacing w:before="228" w:line="360" w:lineRule="auto"/>
        <w:ind w:firstLine="580" w:firstLineChars="200"/>
        <w:rPr>
          <w:rFonts w:hint="eastAsia" w:ascii="仿宋" w:hAnsi="仿宋" w:eastAsia="仿宋" w:cs="仿宋"/>
          <w:spacing w:val="-5"/>
          <w:sz w:val="30"/>
          <w:szCs w:val="30"/>
          <w:lang w:val="en-US" w:eastAsia="zh-CN"/>
        </w:rPr>
      </w:pPr>
      <w:r>
        <w:rPr>
          <w:rFonts w:hint="eastAsia" w:ascii="仿宋" w:hAnsi="仿宋" w:eastAsia="仿宋" w:cs="仿宋"/>
          <w:spacing w:val="-5"/>
          <w:sz w:val="30"/>
          <w:szCs w:val="30"/>
          <w:lang w:val="en-US" w:eastAsia="zh-CN"/>
        </w:rPr>
        <w:t>我局于2025年10月21日以呼伦贝尔市生态环境局《行政处罚事先告知书》（呼环罚告【2025】124号）告知你公司陈述申辩权。2025年10月21日直接送达你公司，告知你公司环境违法事实、处罚依据和拟作出的处罚决定，并告知你公司享有陈述申辩权。在规定的期限内，你公司未提出陈述申辩权。2025年11月11日，你公司未提出陈述申辩，视为放弃此权力。以上事实，有《呼伦贝尔市生态环境局行政处罚事先告知书》和《送达回执》为证。</w:t>
      </w:r>
    </w:p>
    <w:p w14:paraId="4A6FC0F4">
      <w:pPr>
        <w:pStyle w:val="3"/>
        <w:spacing w:before="0" w:beforeAutospacing="0" w:after="0" w:afterAutospacing="0" w:line="560" w:lineRule="exact"/>
        <w:ind w:firstLine="600" w:firstLineChars="200"/>
        <w:rPr>
          <w:rFonts w:hint="eastAsia" w:ascii="仿宋" w:hAnsi="仿宋" w:eastAsia="仿宋" w:cs="仿宋"/>
          <w:spacing w:val="-5"/>
          <w:sz w:val="30"/>
          <w:szCs w:val="30"/>
          <w:lang w:val="en-US" w:eastAsia="zh-CN"/>
        </w:rPr>
      </w:pPr>
      <w:r>
        <w:rPr>
          <w:rFonts w:hint="eastAsia" w:ascii="仿宋" w:hAnsi="仿宋" w:eastAsia="仿宋" w:cs="仿宋"/>
          <w:snapToGrid w:val="0"/>
          <w:color w:val="000000"/>
          <w:kern w:val="0"/>
          <w:sz w:val="30"/>
          <w:szCs w:val="30"/>
          <w:u w:val="none" w:color="auto"/>
          <w:lang w:val="en-US" w:eastAsia="zh-CN" w:bidi="ar-SA"/>
        </w:rPr>
        <w:t>依据《内蒙古自治区生态环境系统行政处罚裁量基准规定》裁量如下：你（公司）铅锌银矿浮选加工改造工程建设项目未重新报批建设项目的环境影响评价文件行为。依据《中华人民共和国环境影响评价法》第三十一条第一款规定，罚款范围处建设项目总投资额百分之一以上百分之五以下的罚款。按照《内蒙古自治区生态环境系统行政处罚裁量基准规定》常用生态环境违法行为行政处罚裁量基准表中第一项违反建设项目环境保护制度类（一）违反建设项目环境影响评价制度类中，你公司建设项目属于环评报告书项目，处罚裁量分级基准为总投资额1%以上5%以下，建设项目由浮选萤石改变为铅锌银矿浮选，属于建设项目的性质或者防治污染、防止生态破坏的措施发生重大变动，并已进行调试生产行为，罚款范围为总投资额3%以上，不足4%。你公司委托内蒙古金天平房地产土地资产评估有限公司完成《内蒙古鸿晟矿业有限公司资产评估报告》，资产评估总投资金额是705.95万元。考虑你公司建设项目由浮选萤石改变为铅锌银矿浮选，性质发生变化或者防治污染、防止生态破坏的措施发生重大变动和正在开展调试生产等情节，</w:t>
      </w:r>
      <w:r>
        <w:rPr>
          <w:rFonts w:hint="eastAsia" w:ascii="仿宋" w:hAnsi="仿宋" w:eastAsia="仿宋" w:cs="仿宋"/>
          <w:b w:val="0"/>
          <w:bCs/>
          <w:color w:val="auto"/>
          <w:sz w:val="30"/>
          <w:szCs w:val="30"/>
          <w:lang w:val="en-US" w:eastAsia="zh-CN"/>
        </w:rPr>
        <w:t>处以建设项目总投资金额4%</w:t>
      </w:r>
      <w:r>
        <w:rPr>
          <w:rFonts w:hint="eastAsia" w:ascii="仿宋" w:hAnsi="仿宋" w:eastAsia="仿宋" w:cs="仿宋"/>
          <w:snapToGrid w:val="0"/>
          <w:color w:val="000000"/>
          <w:kern w:val="0"/>
          <w:sz w:val="30"/>
          <w:szCs w:val="30"/>
          <w:u w:val="none" w:color="auto"/>
          <w:lang w:val="en-US" w:eastAsia="zh-CN" w:bidi="ar-SA"/>
        </w:rPr>
        <w:t>罚款</w:t>
      </w:r>
      <w:r>
        <w:rPr>
          <w:rFonts w:hint="eastAsia" w:ascii="仿宋" w:hAnsi="仿宋" w:eastAsia="仿宋" w:cs="仿宋"/>
          <w:snapToGrid w:val="0"/>
          <w:color w:val="000000"/>
          <w:spacing w:val="-5"/>
          <w:kern w:val="0"/>
          <w:sz w:val="24"/>
          <w:szCs w:val="24"/>
          <w:u w:val="none" w:color="auto"/>
          <w:lang w:val="en-US" w:eastAsia="zh-CN" w:bidi="ar-SA"/>
        </w:rPr>
        <w:t>，</w:t>
      </w:r>
      <w:r>
        <w:rPr>
          <w:rFonts w:hint="eastAsia" w:ascii="仿宋" w:hAnsi="仿宋" w:eastAsia="仿宋" w:cs="仿宋"/>
          <w:snapToGrid w:val="0"/>
          <w:color w:val="000000"/>
          <w:kern w:val="0"/>
          <w:sz w:val="30"/>
          <w:szCs w:val="30"/>
          <w:u w:val="none" w:color="auto"/>
          <w:lang w:val="en-US" w:eastAsia="zh-CN" w:bidi="ar-SA"/>
        </w:rPr>
        <w:t>额度范围应为21.18万元--28.24万元。</w:t>
      </w:r>
      <w:r>
        <w:rPr>
          <w:rFonts w:hint="eastAsia" w:ascii="仿宋" w:hAnsi="仿宋" w:eastAsia="仿宋" w:cs="仿宋"/>
          <w:b w:val="0"/>
          <w:bCs/>
          <w:color w:val="auto"/>
          <w:sz w:val="30"/>
          <w:szCs w:val="30"/>
          <w:lang w:val="en-US" w:eastAsia="zh-CN"/>
        </w:rPr>
        <w:t>结合案情实际，参照《内蒙古自治区生态环境系统行政处罚裁量基准规定》，我局决定对你（公司）作出如下行政处罚：</w:t>
      </w:r>
      <w:r>
        <w:rPr>
          <w:rFonts w:hint="eastAsia" w:ascii="仿宋" w:hAnsi="仿宋" w:eastAsia="仿宋" w:cs="仿宋"/>
          <w:snapToGrid w:val="0"/>
          <w:color w:val="000000"/>
          <w:kern w:val="0"/>
          <w:sz w:val="30"/>
          <w:szCs w:val="30"/>
          <w:u w:val="none" w:color="auto"/>
          <w:lang w:val="en-US" w:eastAsia="zh-CN" w:bidi="ar-SA"/>
        </w:rPr>
        <w:t>人</w:t>
      </w:r>
      <w:r>
        <w:rPr>
          <w:rFonts w:hint="eastAsia" w:ascii="仿宋" w:hAnsi="仿宋" w:eastAsia="仿宋" w:cs="仿宋"/>
          <w:b w:val="0"/>
          <w:bCs/>
          <w:color w:val="auto"/>
          <w:sz w:val="30"/>
          <w:szCs w:val="30"/>
          <w:lang w:val="en-US" w:eastAsia="zh-CN"/>
        </w:rPr>
        <w:t>民币贰拾捌万贰仟肆佰元整（28.24万元）。</w:t>
      </w:r>
      <w:r>
        <w:rPr>
          <w:rFonts w:hint="eastAsia" w:ascii="仿宋" w:hAnsi="仿宋" w:eastAsia="仿宋" w:cs="仿宋"/>
          <w:spacing w:val="-5"/>
          <w:sz w:val="30"/>
          <w:szCs w:val="30"/>
          <w:lang w:val="en-US" w:eastAsia="zh-CN"/>
        </w:rPr>
        <w:t>同时按照已下达的《责令改正违法行为决定书》呼环责改[2025]124号，依法改正违法行为。</w:t>
      </w:r>
    </w:p>
    <w:p w14:paraId="0BC2A736">
      <w:pPr>
        <w:spacing w:before="228" w:line="360" w:lineRule="auto"/>
        <w:ind w:firstLine="580" w:firstLineChars="200"/>
        <w:rPr>
          <w:rFonts w:hint="eastAsia" w:ascii="仿宋" w:hAnsi="仿宋" w:eastAsia="仿宋" w:cs="仿宋"/>
          <w:spacing w:val="-5"/>
          <w:sz w:val="30"/>
          <w:szCs w:val="30"/>
          <w:lang w:val="en-US" w:eastAsia="zh-CN"/>
        </w:rPr>
      </w:pPr>
      <w:r>
        <w:rPr>
          <w:rFonts w:hint="eastAsia" w:ascii="仿宋" w:hAnsi="仿宋" w:eastAsia="仿宋" w:cs="仿宋"/>
          <w:spacing w:val="-5"/>
          <w:sz w:val="30"/>
          <w:szCs w:val="30"/>
          <w:lang w:val="en-US" w:eastAsia="zh-CN"/>
        </w:rPr>
        <w:t>限于接到本处罚决定之日起十五日内到指定的银行或者通过电 子支付系统缴纳罚款。逾期不缴纳罚款的，我局可以根据《中华人民共和国行政处罚法》第七十二条第一款第一项规定每日按罚款数额的百分之三加处罚款。</w:t>
      </w:r>
    </w:p>
    <w:p w14:paraId="0DF305AC">
      <w:pPr>
        <w:spacing w:before="228" w:line="360" w:lineRule="auto"/>
        <w:ind w:firstLine="580" w:firstLineChars="200"/>
        <w:rPr>
          <w:rFonts w:hint="eastAsia" w:ascii="仿宋" w:hAnsi="仿宋" w:eastAsia="仿宋" w:cs="仿宋"/>
          <w:spacing w:val="-5"/>
          <w:sz w:val="30"/>
          <w:szCs w:val="30"/>
          <w:lang w:val="en-US" w:eastAsia="zh-CN"/>
        </w:rPr>
      </w:pPr>
      <w:r>
        <w:rPr>
          <w:rFonts w:hint="eastAsia" w:ascii="仿宋" w:hAnsi="仿宋" w:eastAsia="仿宋" w:cs="仿宋"/>
          <w:spacing w:val="-5"/>
          <w:sz w:val="30"/>
          <w:szCs w:val="30"/>
          <w:lang w:val="en-US" w:eastAsia="zh-CN"/>
        </w:rPr>
        <w:t>你单位如不服本处罚决定，可在收到本处罚决定书之日起六十日内向呼伦贝尔市人民政府申请行政复议，也可以在六个月内向海拉尔铁路运输法院提起行政诉讼。申请行政复议或者提起行政诉讼，不停止行政处罚决定的执行。</w:t>
      </w:r>
    </w:p>
    <w:p w14:paraId="7C92144A">
      <w:pPr>
        <w:spacing w:before="228" w:line="360" w:lineRule="auto"/>
        <w:ind w:firstLine="580" w:firstLineChars="200"/>
        <w:rPr>
          <w:rFonts w:hint="eastAsia" w:ascii="仿宋" w:hAnsi="仿宋" w:eastAsia="仿宋" w:cs="仿宋"/>
          <w:spacing w:val="-5"/>
          <w:sz w:val="30"/>
          <w:szCs w:val="30"/>
          <w:lang w:val="en-US" w:eastAsia="zh-CN"/>
        </w:rPr>
      </w:pPr>
      <w:r>
        <w:rPr>
          <w:rFonts w:hint="eastAsia" w:ascii="仿宋" w:hAnsi="仿宋" w:eastAsia="仿宋" w:cs="仿宋"/>
          <w:spacing w:val="-5"/>
          <w:sz w:val="30"/>
          <w:szCs w:val="30"/>
          <w:lang w:val="en-US" w:eastAsia="zh-CN"/>
        </w:rPr>
        <w:t>逾期不申请行政复议，不提起行政诉讼，又不履行本处罚决定</w:t>
      </w:r>
    </w:p>
    <w:p w14:paraId="6793FA6E">
      <w:pPr>
        <w:spacing w:before="228" w:line="360" w:lineRule="auto"/>
        <w:rPr>
          <w:rFonts w:hint="eastAsia" w:ascii="仿宋" w:hAnsi="仿宋" w:eastAsia="仿宋" w:cs="仿宋"/>
          <w:spacing w:val="-5"/>
          <w:sz w:val="30"/>
          <w:szCs w:val="30"/>
          <w:lang w:val="en-US" w:eastAsia="zh-CN"/>
        </w:rPr>
      </w:pPr>
      <w:r>
        <w:rPr>
          <w:rFonts w:hint="eastAsia" w:ascii="仿宋" w:hAnsi="仿宋" w:eastAsia="仿宋" w:cs="仿宋"/>
          <w:spacing w:val="-5"/>
          <w:sz w:val="30"/>
          <w:szCs w:val="30"/>
          <w:lang w:val="en-US" w:eastAsia="zh-CN"/>
        </w:rPr>
        <w:t>的，我局将依法申请人民法院强制执行。</w:t>
      </w:r>
    </w:p>
    <w:p w14:paraId="1129A33C">
      <w:pPr>
        <w:spacing w:before="99" w:line="587" w:lineRule="exact"/>
        <w:jc w:val="both"/>
        <w:rPr>
          <w:rFonts w:hint="eastAsia" w:ascii="仿宋" w:hAnsi="仿宋" w:eastAsia="仿宋" w:cs="仿宋"/>
          <w:spacing w:val="-6"/>
          <w:position w:val="21"/>
          <w:sz w:val="30"/>
          <w:szCs w:val="30"/>
          <w:lang w:val="en-US" w:eastAsia="zh-CN"/>
        </w:rPr>
      </w:pPr>
    </w:p>
    <w:p w14:paraId="3A9CC6DE">
      <w:pPr>
        <w:spacing w:before="99" w:line="587" w:lineRule="exact"/>
        <w:ind w:firstLine="5472" w:firstLineChars="1900"/>
        <w:jc w:val="both"/>
        <w:rPr>
          <w:rFonts w:hint="eastAsia" w:ascii="仿宋" w:hAnsi="仿宋" w:eastAsia="仿宋" w:cs="仿宋"/>
          <w:sz w:val="30"/>
          <w:szCs w:val="30"/>
        </w:rPr>
      </w:pPr>
      <w:r>
        <w:rPr>
          <w:rFonts w:hint="eastAsia" w:ascii="仿宋" w:hAnsi="仿宋" w:eastAsia="仿宋" w:cs="仿宋"/>
          <w:spacing w:val="-6"/>
          <w:position w:val="21"/>
          <w:sz w:val="30"/>
          <w:szCs w:val="30"/>
          <w:lang w:val="en-US" w:eastAsia="zh-CN"/>
        </w:rPr>
        <w:t>呼伦贝尔市</w:t>
      </w:r>
      <w:r>
        <w:rPr>
          <w:rFonts w:hint="eastAsia" w:ascii="仿宋" w:hAnsi="仿宋" w:eastAsia="仿宋" w:cs="仿宋"/>
          <w:spacing w:val="-6"/>
          <w:position w:val="21"/>
          <w:sz w:val="30"/>
          <w:szCs w:val="30"/>
        </w:rPr>
        <w:t>生态环境局</w:t>
      </w:r>
    </w:p>
    <w:p w14:paraId="1799EFE7">
      <w:pPr>
        <w:spacing w:before="1" w:line="217" w:lineRule="auto"/>
        <w:ind w:firstLine="6000" w:firstLineChars="2000"/>
        <w:rPr>
          <w:rFonts w:hint="eastAsia" w:ascii="仿宋" w:hAnsi="仿宋" w:eastAsia="仿宋" w:cs="仿宋"/>
          <w:sz w:val="30"/>
          <w:szCs w:val="30"/>
          <w:lang w:val="en-US" w:eastAsia="zh-CN"/>
        </w:rPr>
        <w:sectPr>
          <w:pgSz w:w="11905" w:h="16840"/>
          <w:pgMar w:top="1431" w:right="1380" w:bottom="1220" w:left="1527" w:header="0" w:footer="959" w:gutter="0"/>
          <w:cols w:space="720" w:num="1"/>
        </w:sectPr>
      </w:pPr>
      <w:r>
        <w:rPr>
          <w:rFonts w:hint="eastAsia" w:ascii="仿宋" w:hAnsi="仿宋" w:eastAsia="仿宋" w:cs="仿宋"/>
          <w:spacing w:val="0"/>
          <w:w w:val="100"/>
          <w:kern w:val="0"/>
          <w:sz w:val="30"/>
          <w:szCs w:val="30"/>
          <w:fitText w:val="1500" w:id="779231656"/>
          <w:lang w:val="en-US" w:eastAsia="zh-CN"/>
        </w:rPr>
        <w:t>2025</w:t>
      </w:r>
      <w:r>
        <w:rPr>
          <w:rFonts w:hint="eastAsia" w:ascii="仿宋" w:hAnsi="仿宋" w:eastAsia="仿宋" w:cs="仿宋"/>
          <w:spacing w:val="0"/>
          <w:w w:val="100"/>
          <w:kern w:val="0"/>
          <w:sz w:val="30"/>
          <w:szCs w:val="30"/>
          <w:fitText w:val="1500" w:id="779231656"/>
        </w:rPr>
        <w:t>年</w:t>
      </w:r>
      <w:r>
        <w:rPr>
          <w:rFonts w:hint="eastAsia" w:ascii="仿宋" w:hAnsi="仿宋" w:eastAsia="仿宋" w:cs="仿宋"/>
          <w:spacing w:val="0"/>
          <w:w w:val="100"/>
          <w:kern w:val="0"/>
          <w:sz w:val="30"/>
          <w:szCs w:val="30"/>
          <w:fitText w:val="1500" w:id="779231656"/>
          <w:lang w:val="en-US" w:eastAsia="zh-CN"/>
        </w:rPr>
        <w:t>12</w:t>
      </w:r>
      <w:r>
        <w:rPr>
          <w:rFonts w:hint="eastAsia" w:ascii="仿宋" w:hAnsi="仿宋" w:eastAsia="仿宋" w:cs="仿宋"/>
          <w:spacing w:val="0"/>
          <w:w w:val="100"/>
          <w:kern w:val="0"/>
          <w:sz w:val="30"/>
          <w:szCs w:val="30"/>
          <w:fitText w:val="1500" w:id="779231656"/>
        </w:rPr>
        <w:t>月</w:t>
      </w:r>
      <w:r>
        <w:rPr>
          <w:rFonts w:hint="eastAsia" w:ascii="仿宋" w:hAnsi="仿宋" w:eastAsia="仿宋" w:cs="仿宋"/>
          <w:kern w:val="0"/>
          <w:sz w:val="30"/>
          <w:szCs w:val="30"/>
          <w:lang w:val="en-US" w:eastAsia="zh-CN"/>
        </w:rPr>
        <w:t>8</w:t>
      </w:r>
      <w:bookmarkStart w:id="0" w:name="_GoBack"/>
      <w:bookmarkEnd w:id="0"/>
      <w:r>
        <w:rPr>
          <w:rFonts w:hint="eastAsia" w:ascii="仿宋" w:hAnsi="仿宋" w:eastAsia="仿宋" w:cs="仿宋"/>
          <w:kern w:val="0"/>
          <w:sz w:val="30"/>
          <w:szCs w:val="30"/>
          <w:lang w:val="en-US" w:eastAsia="zh-CN"/>
        </w:rPr>
        <w:t>日</w:t>
      </w:r>
    </w:p>
    <w:p w14:paraId="40E796B4"/>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4BA2C">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JhMTIxOGE2NzM1OTliY2MzMTM4NWU3NGQyMmIxYWUifQ=="/>
  </w:docVars>
  <w:rsids>
    <w:rsidRoot w:val="22720C6E"/>
    <w:rsid w:val="052B2F21"/>
    <w:rsid w:val="054944E4"/>
    <w:rsid w:val="08127053"/>
    <w:rsid w:val="08177CBD"/>
    <w:rsid w:val="0B7849E6"/>
    <w:rsid w:val="0BAF5E38"/>
    <w:rsid w:val="101E5B5C"/>
    <w:rsid w:val="10DE4153"/>
    <w:rsid w:val="11C55D8A"/>
    <w:rsid w:val="11F254F3"/>
    <w:rsid w:val="18BF7133"/>
    <w:rsid w:val="1C8E5E18"/>
    <w:rsid w:val="1CE5667F"/>
    <w:rsid w:val="1E1B36DB"/>
    <w:rsid w:val="1F703EFB"/>
    <w:rsid w:val="22720C6E"/>
    <w:rsid w:val="23B51EDC"/>
    <w:rsid w:val="2593449F"/>
    <w:rsid w:val="26526108"/>
    <w:rsid w:val="26B446CD"/>
    <w:rsid w:val="27514612"/>
    <w:rsid w:val="2EF91817"/>
    <w:rsid w:val="300013BB"/>
    <w:rsid w:val="306C7BA9"/>
    <w:rsid w:val="3316226B"/>
    <w:rsid w:val="38082ACA"/>
    <w:rsid w:val="3A6C22BC"/>
    <w:rsid w:val="44C47D79"/>
    <w:rsid w:val="46342CDD"/>
    <w:rsid w:val="46A614E3"/>
    <w:rsid w:val="47694C08"/>
    <w:rsid w:val="4B8031AC"/>
    <w:rsid w:val="4C4F261E"/>
    <w:rsid w:val="4D720CBA"/>
    <w:rsid w:val="52990A97"/>
    <w:rsid w:val="52A51ED2"/>
    <w:rsid w:val="52BC3324"/>
    <w:rsid w:val="54A361DA"/>
    <w:rsid w:val="55102B67"/>
    <w:rsid w:val="56E8762E"/>
    <w:rsid w:val="594730C9"/>
    <w:rsid w:val="5B77749C"/>
    <w:rsid w:val="5DDE3802"/>
    <w:rsid w:val="5EE240B6"/>
    <w:rsid w:val="5F5F0972"/>
    <w:rsid w:val="618A01AE"/>
    <w:rsid w:val="61F07FA8"/>
    <w:rsid w:val="66CB4EB1"/>
    <w:rsid w:val="697B09C7"/>
    <w:rsid w:val="6B3B04E6"/>
    <w:rsid w:val="6EB74327"/>
    <w:rsid w:val="722646C9"/>
    <w:rsid w:val="7AC8166A"/>
    <w:rsid w:val="7C9E6B26"/>
    <w:rsid w:val="7CC51D60"/>
    <w:rsid w:val="7E8104AE"/>
    <w:rsid w:val="7F2F7F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unhideWhenUsed/>
    <w:qFormat/>
    <w:uiPriority w:val="0"/>
    <w:pPr>
      <w:spacing w:before="100" w:beforeLines="0" w:beforeAutospacing="1" w:after="100" w:afterLines="0" w:afterAutospacing="1"/>
      <w:jc w:val="left"/>
      <w:outlineLvl w:val="0"/>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2267</Words>
  <Characters>2386</Characters>
  <Lines>0</Lines>
  <Paragraphs>0</Paragraphs>
  <TotalTime>12</TotalTime>
  <ScaleCrop>false</ScaleCrop>
  <LinksUpToDate>false</LinksUpToDate>
  <CharactersWithSpaces>2436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2024-05-31T01:27:00Z</dcterms:created>
  <dc:creator>亮</dc:creator>
  <cp:lastModifiedBy></cp:lastModifiedBy>
  <cp:lastPrinted>2025-09-26T08:50:00Z</cp:lastPrinted>
  <dcterms:modified xsi:type="dcterms:W3CDTF">2025-12-15T02:50:49Z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E83AEC3BAF04414287E783922ECDFFA4_11</vt:lpwstr>
  </property>
  <property fmtid="{D5CDD505-2E9C-101B-9397-08002B2CF9AE}" pid="4" name="KSOTemplateDocerSaveRecord">
    <vt:lpwstr>eyJoZGlkIjoiM2FmYzdkNjk4MmZlYzcyYzVhNGFiYTRkOTk5YzVhMGQiLCJ1c2VySWQiOiIyOTEwMTg5NTQifQ==</vt:lpwstr>
  </property>
</Properties>
</file>