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382" w:type="dxa"/>
        <w:tblInd w:w="-3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8305"/>
      </w:tblGrid>
      <w:tr w14:paraId="2CD6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71D76AC9">
            <w:pPr>
              <w:jc w:val="center"/>
              <w:rPr>
                <w:rFonts w:ascii="仿宋_GB2312" w:eastAsia="仿宋_GB2312"/>
              </w:rPr>
            </w:pPr>
            <w:r>
              <w:rPr>
                <w:rFonts w:hint="eastAsia" w:ascii="仿宋_GB2312" w:eastAsia="仿宋_GB2312"/>
              </w:rPr>
              <w:t>序号</w:t>
            </w:r>
          </w:p>
        </w:tc>
        <w:tc>
          <w:tcPr>
            <w:tcW w:w="8305" w:type="dxa"/>
            <w:vAlign w:val="center"/>
          </w:tcPr>
          <w:p w14:paraId="47239E2F">
            <w:pPr>
              <w:jc w:val="center"/>
              <w:rPr>
                <w:rFonts w:ascii="仿宋_GB2312" w:eastAsia="仿宋_GB2312"/>
              </w:rPr>
            </w:pPr>
            <w:r>
              <w:rPr>
                <w:rFonts w:hint="eastAsia" w:ascii="仿宋_GB2312" w:eastAsia="仿宋_GB2312"/>
              </w:rPr>
              <w:t>1</w:t>
            </w:r>
          </w:p>
        </w:tc>
      </w:tr>
      <w:tr w14:paraId="14AD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6DF6D265">
            <w:pPr>
              <w:jc w:val="center"/>
              <w:rPr>
                <w:rFonts w:ascii="仿宋_GB2312" w:eastAsia="仿宋_GB2312"/>
              </w:rPr>
            </w:pPr>
            <w:r>
              <w:rPr>
                <w:rFonts w:hint="eastAsia" w:ascii="仿宋_GB2312" w:eastAsia="仿宋_GB2312"/>
              </w:rPr>
              <w:t>项目名称</w:t>
            </w:r>
          </w:p>
        </w:tc>
        <w:tc>
          <w:tcPr>
            <w:tcW w:w="8305" w:type="dxa"/>
            <w:vAlign w:val="center"/>
          </w:tcPr>
          <w:p w14:paraId="6B08DA9B">
            <w:pPr>
              <w:jc w:val="center"/>
              <w:rPr>
                <w:rFonts w:ascii="仿宋_GB2312" w:eastAsia="仿宋_GB2312"/>
              </w:rPr>
            </w:pPr>
            <w:r>
              <w:rPr>
                <w:rFonts w:hint="eastAsia" w:ascii="仿宋_GB2312" w:eastAsia="仿宋_GB2312"/>
              </w:rPr>
              <w:t>内蒙古免渡河国家湿地公园2025年湿地保护工程</w:t>
            </w:r>
          </w:p>
        </w:tc>
      </w:tr>
      <w:tr w14:paraId="516C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2F16C924">
            <w:pPr>
              <w:jc w:val="center"/>
              <w:rPr>
                <w:rFonts w:ascii="仿宋_GB2312" w:eastAsia="仿宋_GB2312"/>
              </w:rPr>
            </w:pPr>
            <w:r>
              <w:rPr>
                <w:rFonts w:hint="eastAsia" w:ascii="仿宋_GB2312" w:eastAsia="仿宋_GB2312"/>
              </w:rPr>
              <w:t>建设地点</w:t>
            </w:r>
          </w:p>
        </w:tc>
        <w:tc>
          <w:tcPr>
            <w:tcW w:w="8305" w:type="dxa"/>
            <w:vAlign w:val="center"/>
          </w:tcPr>
          <w:p w14:paraId="0B81B8BB">
            <w:pPr>
              <w:jc w:val="center"/>
              <w:rPr>
                <w:rFonts w:hint="eastAsia" w:ascii="仿宋_GB2312" w:eastAsia="仿宋_GB2312"/>
                <w:lang w:eastAsia="zh-CN"/>
              </w:rPr>
            </w:pPr>
            <w:r>
              <w:rPr>
                <w:rFonts w:hint="eastAsia" w:ascii="仿宋_GB2312" w:eastAsia="仿宋_GB2312"/>
                <w:lang w:eastAsia="zh-CN"/>
              </w:rPr>
              <w:t>牙克石市</w:t>
            </w:r>
          </w:p>
        </w:tc>
      </w:tr>
      <w:tr w14:paraId="1C26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3A81A139">
            <w:pPr>
              <w:jc w:val="center"/>
              <w:rPr>
                <w:rFonts w:ascii="仿宋_GB2312" w:eastAsia="仿宋_GB2312"/>
              </w:rPr>
            </w:pPr>
            <w:r>
              <w:rPr>
                <w:rFonts w:hint="eastAsia" w:ascii="仿宋_GB2312" w:eastAsia="仿宋_GB2312"/>
              </w:rPr>
              <w:t>建设单位</w:t>
            </w:r>
          </w:p>
        </w:tc>
        <w:tc>
          <w:tcPr>
            <w:tcW w:w="8305" w:type="dxa"/>
            <w:vAlign w:val="center"/>
          </w:tcPr>
          <w:p w14:paraId="0E358D68">
            <w:pPr>
              <w:jc w:val="center"/>
              <w:rPr>
                <w:rFonts w:ascii="仿宋_GB2312" w:eastAsia="仿宋_GB2312"/>
              </w:rPr>
            </w:pPr>
            <w:r>
              <w:rPr>
                <w:rFonts w:hint="eastAsia" w:ascii="仿宋_GB2312" w:eastAsia="仿宋_GB2312"/>
              </w:rPr>
              <w:t>内蒙古免渡河国家湿地公园管理局</w:t>
            </w:r>
          </w:p>
        </w:tc>
      </w:tr>
      <w:tr w14:paraId="4F4B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7A48AC5D">
            <w:pPr>
              <w:jc w:val="center"/>
              <w:rPr>
                <w:rFonts w:ascii="仿宋_GB2312" w:eastAsia="仿宋_GB2312"/>
              </w:rPr>
            </w:pPr>
            <w:r>
              <w:rPr>
                <w:rFonts w:hint="eastAsia" w:ascii="仿宋_GB2312" w:eastAsia="仿宋_GB2312"/>
              </w:rPr>
              <w:t>环境影响评价机构</w:t>
            </w:r>
          </w:p>
        </w:tc>
        <w:tc>
          <w:tcPr>
            <w:tcW w:w="8305" w:type="dxa"/>
            <w:vAlign w:val="center"/>
          </w:tcPr>
          <w:p w14:paraId="52304F83">
            <w:pPr>
              <w:jc w:val="center"/>
              <w:rPr>
                <w:rFonts w:ascii="仿宋_GB2312" w:eastAsia="仿宋_GB2312"/>
              </w:rPr>
            </w:pPr>
            <w:r>
              <w:rPr>
                <w:rFonts w:hint="eastAsia" w:ascii="仿宋_GB2312" w:eastAsia="仿宋_GB2312"/>
              </w:rPr>
              <w:t>内蒙古运银环保科技有限公司</w:t>
            </w:r>
          </w:p>
        </w:tc>
      </w:tr>
      <w:tr w14:paraId="7B8F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1480A569">
            <w:pPr>
              <w:jc w:val="center"/>
              <w:rPr>
                <w:rFonts w:ascii="仿宋_GB2312" w:eastAsia="仿宋_GB2312"/>
              </w:rPr>
            </w:pPr>
            <w:r>
              <w:rPr>
                <w:rFonts w:hint="eastAsia" w:ascii="仿宋_GB2312" w:eastAsia="仿宋_GB2312"/>
              </w:rPr>
              <w:t>项目概况</w:t>
            </w:r>
          </w:p>
        </w:tc>
        <w:tc>
          <w:tcPr>
            <w:tcW w:w="8305" w:type="dxa"/>
            <w:vAlign w:val="center"/>
          </w:tcPr>
          <w:p w14:paraId="22B4039E">
            <w:pPr>
              <w:pStyle w:val="8"/>
              <w:keepNext w:val="0"/>
              <w:keepLines w:val="0"/>
              <w:pageBreakBefore w:val="0"/>
              <w:widowControl w:val="0"/>
              <w:kinsoku/>
              <w:wordWrap/>
              <w:overflowPunct/>
              <w:topLinePunct w:val="0"/>
              <w:autoSpaceDE/>
              <w:autoSpaceDN/>
              <w:bidi w:val="0"/>
              <w:adjustRightInd/>
              <w:snapToGrid w:val="0"/>
              <w:spacing w:line="240" w:lineRule="auto"/>
              <w:ind w:firstLine="411" w:firstLineChars="196"/>
              <w:textAlignment w:val="auto"/>
              <w:rPr>
                <w:rFonts w:ascii="仿宋_GB2312" w:eastAsia="仿宋_GB2312"/>
              </w:rPr>
            </w:pPr>
            <w:r>
              <w:rPr>
                <w:rFonts w:hint="eastAsia" w:ascii="仿宋_GB2312" w:hAnsi="仿宋_GB2312" w:eastAsia="仿宋_GB2312" w:cs="仿宋_GB2312"/>
                <w:b w:val="0"/>
                <w:bCs/>
                <w:sz w:val="21"/>
                <w:szCs w:val="21"/>
              </w:rPr>
              <w:t>本项目建设性质为新建，行业类别为河湖整治工程。</w:t>
            </w:r>
            <w:r>
              <w:rPr>
                <w:rFonts w:hint="eastAsia" w:ascii="仿宋_GB2312" w:hAnsi="Times New Roman" w:eastAsia="仿宋_GB2312"/>
                <w:b w:val="0"/>
                <w:bCs/>
                <w:sz w:val="21"/>
                <w:szCs w:val="21"/>
              </w:rPr>
              <w:t>凤凰山五号湖湖底清淤工程</w:t>
            </w:r>
            <w:r>
              <w:rPr>
                <w:rFonts w:hint="eastAsia" w:ascii="仿宋_GB2312" w:hAnsi="Times New Roman" w:eastAsia="仿宋_GB2312"/>
                <w:b w:val="0"/>
                <w:bCs/>
                <w:sz w:val="21"/>
                <w:szCs w:val="21"/>
                <w:lang w:eastAsia="zh-CN"/>
              </w:rPr>
              <w:t>，涉及</w:t>
            </w:r>
            <w:r>
              <w:rPr>
                <w:rFonts w:hint="eastAsia" w:ascii="仿宋_GB2312" w:hAnsi="Times New Roman" w:eastAsia="仿宋_GB2312"/>
                <w:b w:val="0"/>
                <w:bCs/>
                <w:color w:val="auto"/>
                <w:sz w:val="21"/>
                <w:szCs w:val="21"/>
              </w:rPr>
              <w:t>范围56.785814hm</w:t>
            </w:r>
            <w:r>
              <w:rPr>
                <w:rFonts w:hint="eastAsia" w:ascii="仿宋_GB2312" w:hAnsi="Times New Roman" w:eastAsia="仿宋_GB2312"/>
                <w:b w:val="0"/>
                <w:bCs/>
                <w:color w:val="auto"/>
                <w:sz w:val="21"/>
                <w:szCs w:val="21"/>
                <w:vertAlign w:val="superscript"/>
              </w:rPr>
              <w:t>2</w:t>
            </w:r>
            <w:r>
              <w:rPr>
                <w:rFonts w:hint="eastAsia" w:ascii="仿宋_GB2312" w:hAnsi="Times New Roman" w:eastAsia="仿宋_GB2312"/>
                <w:b w:val="0"/>
                <w:bCs/>
                <w:color w:val="auto"/>
                <w:sz w:val="21"/>
                <w:szCs w:val="21"/>
                <w:lang w:eastAsia="zh-CN"/>
              </w:rPr>
              <w:t>；</w:t>
            </w:r>
            <w:r>
              <w:rPr>
                <w:rFonts w:hint="eastAsia" w:ascii="仿宋_GB2312" w:hAnsi="Times New Roman" w:eastAsia="仿宋_GB2312"/>
                <w:b w:val="0"/>
                <w:bCs/>
                <w:sz w:val="21"/>
                <w:szCs w:val="21"/>
              </w:rPr>
              <w:t>涵洞涵管建设工程</w:t>
            </w:r>
            <w:r>
              <w:rPr>
                <w:rFonts w:hint="eastAsia" w:ascii="仿宋_GB2312" w:hAnsi="Times New Roman" w:eastAsia="仿宋_GB2312"/>
                <w:b w:val="0"/>
                <w:bCs/>
                <w:sz w:val="21"/>
                <w:szCs w:val="21"/>
                <w:lang w:eastAsia="zh-CN"/>
              </w:rPr>
              <w:t>，其中维修改造</w:t>
            </w:r>
            <w:r>
              <w:rPr>
                <w:rFonts w:hint="eastAsia" w:ascii="仿宋_GB2312" w:hAnsi="Times New Roman" w:eastAsia="仿宋_GB2312"/>
                <w:b w:val="0"/>
                <w:bCs/>
                <w:sz w:val="21"/>
                <w:szCs w:val="21"/>
              </w:rPr>
              <w:t>5个进水涵洞（闸）、新建1个出水涵洞（闸），铺设涵管8m。项目总投资1389.4987万元，其中环保投资1179.42万元，占总投资的</w:t>
            </w:r>
            <w:r>
              <w:rPr>
                <w:rFonts w:hint="eastAsia" w:ascii="仿宋_GB2312" w:hAnsi="Times New Roman" w:eastAsia="仿宋_GB2312"/>
                <w:b w:val="0"/>
                <w:bCs/>
                <w:sz w:val="21"/>
                <w:szCs w:val="21"/>
                <w:lang w:val="en-US" w:eastAsia="zh-CN"/>
              </w:rPr>
              <w:t>84.88</w:t>
            </w:r>
            <w:r>
              <w:rPr>
                <w:rFonts w:hint="eastAsia" w:ascii="仿宋_GB2312" w:hAnsi="Times New Roman" w:eastAsia="仿宋_GB2312"/>
                <w:b w:val="0"/>
                <w:bCs/>
                <w:sz w:val="21"/>
                <w:szCs w:val="21"/>
              </w:rPr>
              <w:t>%。</w:t>
            </w:r>
          </w:p>
        </w:tc>
      </w:tr>
      <w:tr w14:paraId="6C22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1" w:hRule="atLeast"/>
        </w:trPr>
        <w:tc>
          <w:tcPr>
            <w:tcW w:w="1077" w:type="dxa"/>
            <w:vAlign w:val="center"/>
          </w:tcPr>
          <w:p w14:paraId="0AD3CEE3">
            <w:pPr>
              <w:jc w:val="center"/>
              <w:rPr>
                <w:rFonts w:ascii="仿宋_GB2312" w:eastAsia="仿宋_GB2312"/>
                <w:szCs w:val="21"/>
              </w:rPr>
            </w:pPr>
            <w:r>
              <w:rPr>
                <w:rFonts w:hint="eastAsia" w:ascii="仿宋_GB2312" w:eastAsia="仿宋_GB2312"/>
                <w:szCs w:val="21"/>
              </w:rPr>
              <w:t>主要环境影响及预防或者减轻不良影响的对策措施</w:t>
            </w:r>
          </w:p>
        </w:tc>
        <w:tc>
          <w:tcPr>
            <w:tcW w:w="8305" w:type="dxa"/>
            <w:vAlign w:val="center"/>
          </w:tcPr>
          <w:p w14:paraId="2776B31B">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（一）生态保护措施。严格按照施工方案限制清淤范围，清淤平整安排在冬季冰冻期进行施工，清淤施工场地控制在五号湖内，</w:t>
            </w:r>
            <w:r>
              <w:rPr>
                <w:rFonts w:hint="eastAsia" w:ascii="仿宋_GB2312" w:hAnsi="宋体" w:eastAsia="仿宋_GB2312" w:cs="宋体"/>
                <w:color w:val="454545"/>
                <w:kern w:val="0"/>
                <w:szCs w:val="21"/>
                <w:lang w:eastAsia="zh-CN"/>
              </w:rPr>
              <w:t>避免</w:t>
            </w:r>
            <w:r>
              <w:rPr>
                <w:rFonts w:hint="eastAsia" w:ascii="仿宋_GB2312" w:hAnsi="宋体" w:eastAsia="仿宋_GB2312" w:cs="宋体"/>
                <w:color w:val="454545"/>
                <w:kern w:val="0"/>
                <w:szCs w:val="21"/>
              </w:rPr>
              <w:t>过度清淤。涵洞（闸）施工活动控制在临时占地范围内，规范施工人员行为及行车路线，禁止到非施工区活动区域砍伐碾压地表植被，涵洞施工结束后及时清理施工现场，恢复破坏的砂石路面，对路外侧边坡及临时占地采用自然恢复为主、人工恢复为辅的方式进行植被恢复。合理安排施工时段，禁止在晨昏及夜晚施工，降低施工噪声对野生动物的惊扰。加强宣传教育，设置告示牌和警告牌，禁止施工人员狩猎野生动物。营运期应加强五号湖生态补水管理，定期监测补水水质，确保湖水水质安全达标，同时禁止湖区捕杀野生动物和湖区垂钓等破坏生态环境的行为。</w:t>
            </w:r>
          </w:p>
          <w:p w14:paraId="539FCD2A">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二）大气污染防治。涵洞（闸）施工场地、运输道路洒水降尘，大风天气停止施工。运输散装物料车辆遮盖苫布，限速行驶。涵洞施工场地分层开挖、分层堆放，表土单独堆存并进行苫盖，施工完毕后及时覆土回填。采用节能型发电机和优质柴油，加强对工程机械及汽车的管理及保养，确保尾气达标排放。</w:t>
            </w:r>
          </w:p>
          <w:p w14:paraId="13DBACCF">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（三）水环境保护措施。清淤及平整工程在冰冻期施工，无施工废水产生。施工人员生活污水依托西北侧中汽研汽车检验中心现有设施处理。</w:t>
            </w:r>
          </w:p>
          <w:p w14:paraId="04FED878">
            <w:pPr>
              <w:widowControl/>
              <w:spacing w:after="156" w:afterLines="50"/>
              <w:jc w:val="left"/>
              <w:rPr>
                <w:rFonts w:ascii="宋体" w:hAnsi="宋体" w:eastAsia="宋体" w:cs="宋体"/>
                <w:color w:val="454545"/>
                <w:kern w:val="0"/>
                <w:szCs w:val="21"/>
              </w:rPr>
            </w:pPr>
            <w:r>
              <w:rPr>
                <w:rFonts w:hint="eastAsia" w:ascii="仿宋_GB2312" w:hAnsi="宋体" w:eastAsia="仿宋_GB2312" w:cs="宋体"/>
                <w:color w:val="454545"/>
                <w:kern w:val="0"/>
                <w:szCs w:val="21"/>
              </w:rPr>
              <w:t>（四）噪声控制措施。采用低噪声施工设备，减少设备同时运行，加强对设备的维护和保养。合理安排施工时间，运输车辆减速慢行、禁止鸣笛，减少对鸟类及野生动物的影响。</w:t>
            </w:r>
          </w:p>
          <w:p w14:paraId="41929027">
            <w:pPr>
              <w:spacing w:after="156" w:afterLines="50"/>
              <w:jc w:val="left"/>
              <w:rPr>
                <w:rFonts w:ascii="仿宋_GB2312" w:eastAsia="仿宋_GB2312"/>
                <w:szCs w:val="21"/>
              </w:rPr>
            </w:pPr>
            <w:r>
              <w:rPr>
                <w:rFonts w:hint="eastAsia" w:ascii="仿宋_GB2312" w:hAnsi="宋体" w:eastAsia="仿宋_GB2312" w:cs="宋体"/>
                <w:color w:val="454545"/>
                <w:kern w:val="0"/>
                <w:szCs w:val="21"/>
              </w:rPr>
              <w:t>（五）固体废物污染防治措施。五号湖清淤的挖方全部用于平整填方，无外运土方。涵洞（闸）施工建筑垃圾及弃方运至牙克石市建筑垃圾填埋场处置。五号湖场地清理的干枯植物及生活垃圾收集后运至牙克石市生活垃圾填埋场处置。</w:t>
            </w:r>
          </w:p>
        </w:tc>
      </w:tr>
      <w:tr w14:paraId="3B530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vAlign w:val="center"/>
          </w:tcPr>
          <w:p w14:paraId="3ED08FF8">
            <w:pPr>
              <w:jc w:val="center"/>
              <w:rPr>
                <w:rFonts w:ascii="仿宋_GB2312" w:eastAsia="仿宋_GB2312"/>
                <w:szCs w:val="21"/>
              </w:rPr>
            </w:pPr>
            <w:r>
              <w:rPr>
                <w:rFonts w:hint="eastAsia" w:ascii="仿宋_GB2312" w:eastAsia="仿宋_GB2312"/>
                <w:szCs w:val="21"/>
              </w:rPr>
              <w:t>公众参与</w:t>
            </w:r>
          </w:p>
        </w:tc>
        <w:tc>
          <w:tcPr>
            <w:tcW w:w="8305" w:type="dxa"/>
            <w:vAlign w:val="center"/>
          </w:tcPr>
          <w:p w14:paraId="59A0D74A">
            <w:pPr>
              <w:numPr>
                <w:ilvl w:val="0"/>
                <w:numId w:val="1"/>
              </w:numPr>
              <w:ind w:firstLine="210" w:firstLineChars="100"/>
              <w:jc w:val="left"/>
              <w:rPr>
                <w:rFonts w:ascii="仿宋_GB2312" w:eastAsia="仿宋_GB2312"/>
                <w:szCs w:val="21"/>
              </w:rPr>
            </w:pPr>
            <w:r>
              <w:rPr>
                <w:rFonts w:hint="eastAsia" w:ascii="仿宋_GB2312" w:eastAsia="仿宋_GB2312"/>
                <w:szCs w:val="21"/>
              </w:rPr>
              <w:t>建设单位于202</w:t>
            </w:r>
            <w:r>
              <w:rPr>
                <w:rFonts w:hint="eastAsia" w:ascii="仿宋_GB2312" w:eastAsia="仿宋_GB2312"/>
                <w:szCs w:val="21"/>
                <w:lang w:val="en-US" w:eastAsia="zh-CN"/>
              </w:rPr>
              <w:t>5</w:t>
            </w:r>
            <w:r>
              <w:rPr>
                <w:rFonts w:hint="eastAsia" w:ascii="仿宋_GB2312" w:eastAsia="仿宋_GB2312"/>
                <w:szCs w:val="21"/>
              </w:rPr>
              <w:t>年</w:t>
            </w:r>
            <w:r>
              <w:rPr>
                <w:rFonts w:hint="eastAsia" w:ascii="仿宋_GB2312" w:eastAsia="仿宋_GB2312"/>
                <w:szCs w:val="21"/>
                <w:lang w:val="en-US" w:eastAsia="zh-CN"/>
              </w:rPr>
              <w:t>10</w:t>
            </w:r>
            <w:r>
              <w:rPr>
                <w:rFonts w:hint="eastAsia" w:ascii="仿宋_GB2312" w:eastAsia="仿宋_GB2312"/>
                <w:szCs w:val="21"/>
              </w:rPr>
              <w:t>月1日在</w:t>
            </w:r>
            <w:r>
              <w:rPr>
                <w:rFonts w:hint="eastAsia" w:ascii="仿宋_GB2312" w:eastAsia="仿宋_GB2312"/>
                <w:szCs w:val="21"/>
                <w:lang w:eastAsia="zh-CN"/>
              </w:rPr>
              <w:t>内蒙古免渡河国家湿地公园入口及公园内进行了张贴公示，于</w:t>
            </w:r>
            <w:r>
              <w:rPr>
                <w:rFonts w:hint="eastAsia" w:ascii="仿宋_GB2312" w:eastAsia="仿宋_GB2312"/>
                <w:szCs w:val="21"/>
                <w:lang w:val="en-US" w:eastAsia="zh-CN"/>
              </w:rPr>
              <w:t>10月10日通过“全国建设项目环境信息公示网”发布了公告。</w:t>
            </w:r>
            <w:r>
              <w:rPr>
                <w:rFonts w:hint="eastAsia" w:ascii="仿宋_GB2312" w:eastAsia="仿宋_GB2312"/>
                <w:szCs w:val="21"/>
              </w:rPr>
              <w:t>主要介绍了项目名称、建设内容等基本情况、建设单位名称和联系方式、环境影响报告书编制单位的名称、公众意见表的网络链接、公众意见提交意见的方式和途径等。公示期间，建设单位未收到公众意见。</w:t>
            </w:r>
          </w:p>
          <w:p w14:paraId="026B82DA">
            <w:pPr>
              <w:ind w:firstLine="210" w:firstLineChars="100"/>
              <w:jc w:val="left"/>
              <w:rPr>
                <w:rFonts w:ascii="仿宋_GB2312" w:eastAsia="仿宋_GB2312"/>
                <w:szCs w:val="21"/>
              </w:rPr>
            </w:pPr>
            <w:r>
              <w:rPr>
                <w:rFonts w:hint="eastAsia" w:ascii="仿宋_GB2312" w:eastAsia="仿宋_GB2312"/>
                <w:szCs w:val="21"/>
              </w:rPr>
              <w:t>（二）建设单位于202</w:t>
            </w:r>
            <w:r>
              <w:rPr>
                <w:rFonts w:hint="eastAsia" w:ascii="仿宋_GB2312" w:eastAsia="仿宋_GB2312"/>
                <w:szCs w:val="21"/>
                <w:lang w:val="en-US" w:eastAsia="zh-CN"/>
              </w:rPr>
              <w:t>5</w:t>
            </w:r>
            <w:r>
              <w:rPr>
                <w:rFonts w:hint="eastAsia" w:ascii="仿宋_GB2312" w:eastAsia="仿宋_GB2312"/>
                <w:szCs w:val="21"/>
              </w:rPr>
              <w:t>年</w:t>
            </w:r>
            <w:r>
              <w:rPr>
                <w:rFonts w:hint="eastAsia" w:ascii="仿宋_GB2312" w:eastAsia="仿宋_GB2312"/>
                <w:szCs w:val="21"/>
                <w:lang w:val="en-US" w:eastAsia="zh-CN"/>
              </w:rPr>
              <w:t>10</w:t>
            </w:r>
            <w:r>
              <w:rPr>
                <w:rFonts w:hint="eastAsia" w:ascii="仿宋_GB2312" w:eastAsia="仿宋_GB2312"/>
                <w:szCs w:val="21"/>
              </w:rPr>
              <w:t>月</w:t>
            </w:r>
            <w:r>
              <w:rPr>
                <w:rFonts w:hint="eastAsia" w:ascii="仿宋_GB2312" w:eastAsia="仿宋_GB2312"/>
                <w:szCs w:val="21"/>
                <w:lang w:val="en-US" w:eastAsia="zh-CN"/>
              </w:rPr>
              <w:t>21</w:t>
            </w:r>
            <w:r>
              <w:rPr>
                <w:rFonts w:hint="eastAsia" w:ascii="仿宋_GB2312" w:eastAsia="仿宋_GB2312"/>
                <w:szCs w:val="21"/>
              </w:rPr>
              <w:t>日</w:t>
            </w:r>
            <w:r>
              <w:rPr>
                <w:rFonts w:hint="eastAsia" w:ascii="仿宋_GB2312" w:eastAsia="仿宋_GB2312"/>
                <w:szCs w:val="21"/>
                <w:lang w:val="en-US" w:eastAsia="zh-CN"/>
              </w:rPr>
              <w:t>-10月31日</w:t>
            </w:r>
            <w:r>
              <w:rPr>
                <w:rFonts w:hint="eastAsia" w:ascii="仿宋_GB2312" w:eastAsia="仿宋_GB2312"/>
                <w:szCs w:val="21"/>
              </w:rPr>
              <w:t>，进行第二次公示</w:t>
            </w:r>
            <w:r>
              <w:rPr>
                <w:rFonts w:hint="eastAsia" w:ascii="仿宋_GB2312" w:eastAsia="仿宋_GB2312"/>
                <w:szCs w:val="21"/>
                <w:lang w:eastAsia="zh-CN"/>
              </w:rPr>
              <w:t>。公示方式分别为张贴公告、网络公示和报纸公开。</w:t>
            </w:r>
            <w:r>
              <w:rPr>
                <w:rFonts w:hint="eastAsia" w:ascii="仿宋_GB2312" w:eastAsia="仿宋_GB2312"/>
                <w:szCs w:val="21"/>
              </w:rPr>
              <w:t>公示的主要内容包括：环境影响报告书征求意见稿全文的网络链接及查阅纸质报告书的方式和途径、征求意见的公众范围、公众意见表的网络链接、公众提出意见的方式和途径、起止时间等。公示期间未收到公众反馈意见。</w:t>
            </w:r>
            <w:bookmarkStart w:id="0" w:name="_GoBack"/>
            <w:bookmarkEnd w:id="0"/>
          </w:p>
        </w:tc>
      </w:tr>
    </w:tbl>
    <w:p w14:paraId="0F4D657B"/>
    <w:p w14:paraId="04B786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7E2D8B"/>
    <w:multiLevelType w:val="singleLevel"/>
    <w:tmpl w:val="EE7E2D8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CB"/>
    <w:rsid w:val="00114BF3"/>
    <w:rsid w:val="0013449A"/>
    <w:rsid w:val="00183EF4"/>
    <w:rsid w:val="0020775F"/>
    <w:rsid w:val="00457CBD"/>
    <w:rsid w:val="00505639"/>
    <w:rsid w:val="006B3C8B"/>
    <w:rsid w:val="0075505E"/>
    <w:rsid w:val="00882FA0"/>
    <w:rsid w:val="008959A2"/>
    <w:rsid w:val="008C21A0"/>
    <w:rsid w:val="008C6ACB"/>
    <w:rsid w:val="00A84665"/>
    <w:rsid w:val="00C41D8F"/>
    <w:rsid w:val="00F55727"/>
    <w:rsid w:val="29AA7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宋体"/>
    </w:rPr>
  </w:style>
  <w:style w:type="paragraph" w:styleId="3">
    <w:name w:val="Body Text Indent"/>
    <w:basedOn w:val="1"/>
    <w:qFormat/>
    <w:uiPriority w:val="99"/>
    <w:pPr>
      <w:spacing w:line="360" w:lineRule="auto"/>
      <w:ind w:firstLine="600" w:firstLineChars="200"/>
    </w:pPr>
    <w:rPr>
      <w:rFonts w:ascii="仿宋_GB2312" w:eastAsia="仿宋_GB2312" w:cs="仿宋_GB2312"/>
      <w:sz w:val="30"/>
      <w:szCs w:val="30"/>
    </w:rPr>
  </w:style>
  <w:style w:type="paragraph" w:styleId="4">
    <w:name w:val="Body Text First Indent 2"/>
    <w:basedOn w:val="3"/>
    <w:next w:val="1"/>
    <w:qFormat/>
    <w:uiPriority w:val="99"/>
    <w:pPr>
      <w:keepNext/>
      <w:spacing w:after="120"/>
      <w:ind w:left="420" w:leftChars="200" w:firstLine="420"/>
    </w:pPr>
    <w:rPr>
      <w:rFonts w:ascii="Times New Roman" w:cs="Times New Roman"/>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样式9"/>
    <w:basedOn w:val="1"/>
    <w:uiPriority w:val="0"/>
    <w:pPr>
      <w:widowControl w:val="0"/>
      <w:jc w:val="both"/>
    </w:pPr>
    <w:rPr>
      <w:rFonts w:ascii="楷体_GB2312" w:eastAsia="楷体_GB2312"/>
      <w:b/>
      <w:kern w:val="2"/>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MS</Company>
  <Pages>1</Pages>
  <Words>1429</Words>
  <Characters>1463</Characters>
  <Lines>10</Lines>
  <Paragraphs>2</Paragraphs>
  <TotalTime>6</TotalTime>
  <ScaleCrop>false</ScaleCrop>
  <LinksUpToDate>false</LinksUpToDate>
  <CharactersWithSpaces>1463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2024-06-05T01:27:00Z</dcterms:created>
  <dc:creator>张雪丹(拟稿)</dc:creator>
  <cp:lastModifiedBy>张三儿⁉️</cp:lastModifiedBy>
  <dcterms:modified xsi:type="dcterms:W3CDTF">2026-01-22T07:18:11Z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eyJoZGlkIjoiZjg5ODA4MWYzZDY0ZDU1ODk2YTA1OWRkMzI4MGM0YmMiLCJ1c2VySWQiOiI0NTk5NjY4OTAifQ==</vt:lpwstr>
  </property>
  <property fmtid="{D5CDD505-2E9C-101B-9397-08002B2CF9AE}" pid="3" name="KSOProductBuildVer">
    <vt:lpwstr>2052-12.1.0.21915</vt:lpwstr>
  </property>
  <property fmtid="{D5CDD505-2E9C-101B-9397-08002B2CF9AE}" pid="4" name="ICV">
    <vt:lpwstr>79EBFFA6B2324C6094BA4399E5FE70DB_12</vt:lpwstr>
  </property>
</Properties>
</file>