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382" w:type="dxa"/>
        <w:tblInd w:w="-3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8305"/>
      </w:tblGrid>
      <w:tr w14:paraId="2CD6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71D76AC9">
            <w:pPr>
              <w:jc w:val="center"/>
              <w:rPr>
                <w:rFonts w:ascii="仿宋_GB2312" w:eastAsia="仿宋_GB2312"/>
              </w:rPr>
            </w:pPr>
            <w:r>
              <w:rPr>
                <w:rFonts w:hint="eastAsia" w:ascii="仿宋_GB2312" w:eastAsia="仿宋_GB2312"/>
              </w:rPr>
              <w:t>序号</w:t>
            </w:r>
          </w:p>
        </w:tc>
        <w:tc>
          <w:tcPr>
            <w:tcW w:w="8305" w:type="dxa"/>
            <w:vAlign w:val="center"/>
          </w:tcPr>
          <w:p w14:paraId="47239E2F">
            <w:pPr>
              <w:jc w:val="center"/>
              <w:rPr>
                <w:rFonts w:ascii="仿宋_GB2312" w:eastAsia="仿宋_GB2312"/>
              </w:rPr>
            </w:pPr>
            <w:r>
              <w:rPr>
                <w:rFonts w:hint="eastAsia" w:ascii="仿宋_GB2312" w:eastAsia="仿宋_GB2312"/>
              </w:rPr>
              <w:t>1</w:t>
            </w:r>
          </w:p>
        </w:tc>
      </w:tr>
      <w:tr w14:paraId="14AD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6DF6D265">
            <w:pPr>
              <w:jc w:val="center"/>
              <w:rPr>
                <w:rFonts w:ascii="仿宋_GB2312" w:eastAsia="仿宋_GB2312"/>
              </w:rPr>
            </w:pPr>
            <w:r>
              <w:rPr>
                <w:rFonts w:hint="eastAsia" w:ascii="仿宋_GB2312" w:eastAsia="仿宋_GB2312"/>
              </w:rPr>
              <w:t>项目名称</w:t>
            </w:r>
          </w:p>
        </w:tc>
        <w:tc>
          <w:tcPr>
            <w:tcW w:w="8305" w:type="dxa"/>
            <w:vAlign w:val="center"/>
          </w:tcPr>
          <w:p w14:paraId="6B08DA9B">
            <w:pPr>
              <w:jc w:val="center"/>
              <w:rPr>
                <w:rFonts w:ascii="仿宋_GB2312" w:eastAsia="仿宋_GB2312"/>
              </w:rPr>
            </w:pPr>
            <w:r>
              <w:rPr>
                <w:rFonts w:hint="eastAsia" w:ascii="仿宋_GB2312" w:eastAsia="仿宋_GB2312"/>
              </w:rPr>
              <w:t>呼和诺仁油田贝D8、贝3-11井区外扩井及贝301区块更新井产能建设工程</w:t>
            </w:r>
          </w:p>
        </w:tc>
      </w:tr>
      <w:tr w14:paraId="516C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2F16C924">
            <w:pPr>
              <w:jc w:val="center"/>
              <w:rPr>
                <w:rFonts w:ascii="仿宋_GB2312" w:eastAsia="仿宋_GB2312"/>
              </w:rPr>
            </w:pPr>
            <w:r>
              <w:rPr>
                <w:rFonts w:hint="eastAsia" w:ascii="仿宋_GB2312" w:eastAsia="仿宋_GB2312"/>
              </w:rPr>
              <w:t>建设地点</w:t>
            </w:r>
          </w:p>
        </w:tc>
        <w:tc>
          <w:tcPr>
            <w:tcW w:w="8305" w:type="dxa"/>
            <w:vAlign w:val="center"/>
          </w:tcPr>
          <w:p w14:paraId="0B81B8BB">
            <w:pPr>
              <w:jc w:val="center"/>
              <w:rPr>
                <w:rFonts w:hint="eastAsia" w:ascii="仿宋_GB2312" w:eastAsia="仿宋_GB2312"/>
                <w:lang w:val="en-US" w:eastAsia="zh-CN"/>
              </w:rPr>
            </w:pPr>
            <w:r>
              <w:rPr>
                <w:rFonts w:hint="eastAsia" w:ascii="仿宋_GB2312" w:eastAsia="仿宋_GB2312"/>
                <w:lang w:val="en-US" w:eastAsia="zh-CN"/>
              </w:rPr>
              <w:t>新巴尔虎右旗</w:t>
            </w:r>
          </w:p>
        </w:tc>
      </w:tr>
      <w:tr w14:paraId="1C26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3A81A139">
            <w:pPr>
              <w:jc w:val="center"/>
              <w:rPr>
                <w:rFonts w:ascii="仿宋_GB2312" w:eastAsia="仿宋_GB2312"/>
              </w:rPr>
            </w:pPr>
            <w:r>
              <w:rPr>
                <w:rFonts w:hint="eastAsia" w:ascii="仿宋_GB2312" w:eastAsia="仿宋_GB2312"/>
              </w:rPr>
              <w:t>建设单位</w:t>
            </w:r>
          </w:p>
        </w:tc>
        <w:tc>
          <w:tcPr>
            <w:tcW w:w="8305" w:type="dxa"/>
            <w:vAlign w:val="center"/>
          </w:tcPr>
          <w:p w14:paraId="0E358D68">
            <w:pPr>
              <w:jc w:val="center"/>
              <w:rPr>
                <w:rFonts w:ascii="仿宋_GB2312" w:eastAsia="仿宋_GB2312"/>
              </w:rPr>
            </w:pPr>
            <w:r>
              <w:rPr>
                <w:rFonts w:hint="eastAsia" w:ascii="仿宋_GB2312" w:eastAsia="仿宋_GB2312"/>
              </w:rPr>
              <w:t>大庆油田有限责任公司呼伦贝尔分公司</w:t>
            </w:r>
          </w:p>
        </w:tc>
      </w:tr>
      <w:tr w14:paraId="4F4B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77" w:type="dxa"/>
            <w:vAlign w:val="center"/>
          </w:tcPr>
          <w:p w14:paraId="7A48AC5D">
            <w:pPr>
              <w:jc w:val="center"/>
              <w:rPr>
                <w:rFonts w:ascii="仿宋_GB2312" w:eastAsia="仿宋_GB2312"/>
              </w:rPr>
            </w:pPr>
            <w:r>
              <w:rPr>
                <w:rFonts w:hint="eastAsia" w:ascii="仿宋_GB2312" w:eastAsia="仿宋_GB2312"/>
              </w:rPr>
              <w:t>环境影响评价机构</w:t>
            </w:r>
          </w:p>
        </w:tc>
        <w:tc>
          <w:tcPr>
            <w:tcW w:w="8305" w:type="dxa"/>
            <w:vAlign w:val="center"/>
          </w:tcPr>
          <w:p w14:paraId="52304F83">
            <w:pPr>
              <w:jc w:val="center"/>
              <w:rPr>
                <w:rFonts w:ascii="仿宋_GB2312" w:eastAsia="仿宋_GB2312"/>
              </w:rPr>
            </w:pPr>
            <w:r>
              <w:rPr>
                <w:rFonts w:hint="eastAsia" w:ascii="仿宋_GB2312" w:eastAsia="仿宋_GB2312"/>
              </w:rPr>
              <w:t>山东海纳环境工程有限公司</w:t>
            </w:r>
          </w:p>
        </w:tc>
      </w:tr>
      <w:tr w14:paraId="7B8F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1480A569">
            <w:pPr>
              <w:jc w:val="center"/>
              <w:rPr>
                <w:rFonts w:ascii="仿宋_GB2312" w:eastAsia="仿宋_GB2312"/>
              </w:rPr>
            </w:pPr>
            <w:r>
              <w:rPr>
                <w:rFonts w:hint="eastAsia" w:ascii="仿宋_GB2312" w:eastAsia="仿宋_GB2312"/>
              </w:rPr>
              <w:t>项目概况</w:t>
            </w:r>
          </w:p>
        </w:tc>
        <w:tc>
          <w:tcPr>
            <w:tcW w:w="8305" w:type="dxa"/>
            <w:vAlign w:val="center"/>
          </w:tcPr>
          <w:p w14:paraId="22B4039E">
            <w:pPr>
              <w:pStyle w:val="8"/>
              <w:keepNext w:val="0"/>
              <w:keepLines w:val="0"/>
              <w:pageBreakBefore w:val="0"/>
              <w:widowControl w:val="0"/>
              <w:kinsoku/>
              <w:wordWrap/>
              <w:overflowPunct/>
              <w:topLinePunct w:val="0"/>
              <w:autoSpaceDE/>
              <w:autoSpaceDN/>
              <w:bidi w:val="0"/>
              <w:adjustRightInd/>
              <w:snapToGrid w:val="0"/>
              <w:spacing w:line="240" w:lineRule="auto"/>
              <w:ind w:firstLine="411" w:firstLineChars="196"/>
              <w:jc w:val="left"/>
              <w:textAlignment w:val="auto"/>
              <w:rPr>
                <w:rFonts w:ascii="仿宋_GB2312" w:eastAsia="仿宋_GB2312"/>
              </w:rPr>
            </w:pPr>
            <w:r>
              <w:rPr>
                <w:rFonts w:hint="eastAsia" w:ascii="仿宋_GB2312" w:hAnsi="仿宋_GB2312" w:eastAsia="仿宋_GB2312" w:cs="仿宋_GB2312"/>
                <w:b w:val="0"/>
                <w:bCs/>
                <w:sz w:val="21"/>
                <w:szCs w:val="21"/>
                <w:lang w:eastAsia="zh-CN"/>
              </w:rPr>
              <w:t>本</w:t>
            </w:r>
            <w:r>
              <w:rPr>
                <w:rFonts w:hint="eastAsia" w:ascii="仿宋_GB2312" w:hAnsi="仿宋_GB2312" w:eastAsia="仿宋_GB2312" w:cs="仿宋_GB2312"/>
                <w:b w:val="0"/>
                <w:bCs/>
                <w:sz w:val="21"/>
                <w:szCs w:val="21"/>
              </w:rPr>
              <w:t>项目行业类别为陆地石油开采，建设性质为扩建</w:t>
            </w:r>
            <w:r>
              <w:rPr>
                <w:rFonts w:hint="eastAsia" w:ascii="仿宋_GB2312" w:hAnsi="仿宋_GB2312" w:eastAsia="仿宋_GB2312" w:cs="仿宋_GB2312"/>
                <w:b w:val="0"/>
                <w:bCs/>
                <w:sz w:val="21"/>
                <w:szCs w:val="21"/>
                <w:lang w:eastAsia="zh-CN"/>
              </w:rPr>
              <w:t>。</w:t>
            </w:r>
            <w:r>
              <w:rPr>
                <w:rFonts w:hint="eastAsia" w:ascii="仿宋_GB2312" w:hAnsi="仿宋_GB2312" w:eastAsia="仿宋_GB2312" w:cs="仿宋_GB2312"/>
                <w:b w:val="0"/>
                <w:bCs/>
                <w:sz w:val="21"/>
                <w:szCs w:val="21"/>
              </w:rPr>
              <w:t>项目共新钻油井9口，其中贝D8区块新钻油井6口、外甩首钻油井1口，贝301区块新钻油井2口。地面工程共基建8口油井，预计建成产能0.77×10</w:t>
            </w:r>
            <w:r>
              <w:rPr>
                <w:rFonts w:hint="eastAsia" w:ascii="仿宋_GB2312" w:hAnsi="仿宋_GB2312" w:eastAsia="仿宋_GB2312" w:cs="仿宋_GB2312"/>
                <w:b w:val="0"/>
                <w:bCs/>
                <w:sz w:val="21"/>
                <w:szCs w:val="21"/>
                <w:vertAlign w:val="superscript"/>
              </w:rPr>
              <w:t>4</w:t>
            </w:r>
            <w:r>
              <w:rPr>
                <w:rFonts w:hint="eastAsia" w:ascii="仿宋_GB2312" w:hAnsi="仿宋_GB2312" w:eastAsia="仿宋_GB2312" w:cs="仿宋_GB2312"/>
                <w:b w:val="0"/>
                <w:bCs/>
                <w:sz w:val="21"/>
                <w:szCs w:val="21"/>
              </w:rPr>
              <w:t>t/a。贝D8井区和贝3-11井区采用相对集中拉油工艺，共设40m3多功能储罐5座；贝301区块采用管网集输工艺，配套建设集油管道1.54km、道路1.30km、0.4kV低压电缆0.15km、10kV产能线路3.5km、柱上变压器8台。</w:t>
            </w:r>
          </w:p>
        </w:tc>
      </w:tr>
      <w:tr w14:paraId="6C22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1" w:hRule="atLeast"/>
        </w:trPr>
        <w:tc>
          <w:tcPr>
            <w:tcW w:w="1077" w:type="dxa"/>
            <w:vAlign w:val="center"/>
          </w:tcPr>
          <w:p w14:paraId="0AD3CEE3">
            <w:pPr>
              <w:jc w:val="center"/>
              <w:rPr>
                <w:rFonts w:ascii="仿宋_GB2312" w:eastAsia="仿宋_GB2312"/>
                <w:szCs w:val="21"/>
              </w:rPr>
            </w:pPr>
            <w:r>
              <w:rPr>
                <w:rFonts w:hint="eastAsia" w:ascii="仿宋_GB2312" w:eastAsia="仿宋_GB2312"/>
                <w:szCs w:val="21"/>
              </w:rPr>
              <w:t>主要环境影响及预防或者减轻不良影响的对策措施</w:t>
            </w:r>
          </w:p>
        </w:tc>
        <w:tc>
          <w:tcPr>
            <w:tcW w:w="8305" w:type="dxa"/>
            <w:vAlign w:val="center"/>
          </w:tcPr>
          <w:p w14:paraId="10708836">
            <w:pPr>
              <w:numPr>
                <w:ilvl w:val="0"/>
                <w:numId w:val="0"/>
              </w:numPr>
              <w:bidi w:val="0"/>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（一）</w:t>
            </w:r>
            <w:r>
              <w:rPr>
                <w:rFonts w:hint="eastAsia" w:ascii="仿宋_GB2312" w:hAnsi="仿宋_GB2312" w:eastAsia="仿宋_GB2312" w:cs="仿宋_GB2312"/>
                <w:sz w:val="21"/>
                <w:szCs w:val="21"/>
              </w:rPr>
              <w:t>大气污染防治。运输道路和施工场地洒水抑尘，大风天气停止开挖，运输散装物料车辆遮盖苫布。采用节能型柴油发电机和优质柴油，加强非道路工程机械及汽车的管理及保养。井口、集输管道和各类储罐采用有效方式密闭，减少泄漏产生的有机废气挥发。伴生气用作燃料产生的燃烧废气应经排气筒达标排放。含油污泥、落地油、含油废防渗布等采用加盖的防渗槽车运输，从源头减少挥发性有机物排放。</w:t>
            </w:r>
          </w:p>
          <w:p w14:paraId="13DBACCF">
            <w:pPr>
              <w:numPr>
                <w:ilvl w:val="0"/>
                <w:numId w:val="0"/>
              </w:numPr>
              <w:bidi w:val="0"/>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rPr>
              <w:t>）水环境保护措施。含油污水、压滤水、油井清防蜡废水等作业废水经依托的含油污水处理站处理后回注现役油层，废压裂返排液由罐车拉运至压裂返排液站处理。生活污水排入临时玻璃钢化粪池，定期拉运至联合站处理后排入暂存池暂存或满足相应标准后回用于灌溉草地，</w:t>
            </w:r>
            <w:r>
              <w:rPr>
                <w:rFonts w:hint="eastAsia" w:ascii="仿宋_GB2312" w:hAnsi="仿宋_GB2312" w:eastAsia="仿宋_GB2312" w:cs="仿宋_GB2312"/>
                <w:sz w:val="21"/>
                <w:szCs w:val="21"/>
                <w:lang w:eastAsia="zh-CN"/>
              </w:rPr>
              <w:t>不</w:t>
            </w:r>
            <w:r>
              <w:rPr>
                <w:rFonts w:hint="eastAsia" w:ascii="仿宋_GB2312" w:hAnsi="仿宋_GB2312" w:eastAsia="仿宋_GB2312" w:cs="仿宋_GB2312"/>
                <w:sz w:val="21"/>
                <w:szCs w:val="21"/>
              </w:rPr>
              <w:t>外排。石油开采使用双层套管技术，油井作业时井场周围设置临时围堰，采取有效防渗措施避免对地下水及土壤造成污染。</w:t>
            </w:r>
          </w:p>
          <w:p w14:paraId="04FED878">
            <w:pPr>
              <w:numPr>
                <w:ilvl w:val="0"/>
                <w:numId w:val="0"/>
              </w:numPr>
              <w:bidi w:val="0"/>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三</w:t>
            </w:r>
            <w:r>
              <w:rPr>
                <w:rFonts w:hint="eastAsia" w:ascii="仿宋_GB2312" w:hAnsi="仿宋_GB2312" w:eastAsia="仿宋_GB2312" w:cs="仿宋_GB2312"/>
                <w:sz w:val="21"/>
                <w:szCs w:val="21"/>
              </w:rPr>
              <w:t>）噪声控制措施。采取妥善的减振、降噪措施。选用低噪声设备并采取减振、隔声措施，加强设备维护和保养，确保施工期场地噪声、运行期厂界噪声满足相应标准。</w:t>
            </w:r>
          </w:p>
          <w:p w14:paraId="41929027">
            <w:pPr>
              <w:numPr>
                <w:ilvl w:val="0"/>
                <w:numId w:val="0"/>
              </w:numPr>
              <w:bidi w:val="0"/>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（四）</w:t>
            </w:r>
            <w:r>
              <w:rPr>
                <w:rFonts w:hint="eastAsia" w:ascii="仿宋_GB2312" w:hAnsi="仿宋_GB2312" w:eastAsia="仿宋_GB2312" w:cs="仿宋_GB2312"/>
                <w:sz w:val="21"/>
                <w:szCs w:val="21"/>
              </w:rPr>
              <w:t>固体废物污染防治措施。废钻井液、钻井岩屑和废射孔液经移动式泥浆不落地装置收集后处理成泥饼暂存在井场，泥饼鉴别属性后，依据属性鉴别结果用于井场垫高或综合利用。含油污泥、落地油、废防渗布等危险废物按要求暂存后，委托有资质单位处置。危险废物的收集、暂存、管理、运输应满足危险废物的相关管理规定，不得超期暂存。废包装袋、非含油废防渗布收集后外售。生活垃圾经封闭垃圾箱收集后运至填埋场处置。</w:t>
            </w:r>
          </w:p>
          <w:p w14:paraId="4D6F88CB">
            <w:pPr>
              <w:numPr>
                <w:ilvl w:val="0"/>
                <w:numId w:val="0"/>
              </w:numPr>
              <w:bidi w:val="0"/>
              <w:ind w:firstLine="420" w:firstLineChars="200"/>
            </w:pPr>
            <w:r>
              <w:rPr>
                <w:rFonts w:hint="eastAsia" w:ascii="仿宋_GB2312" w:hAnsi="仿宋_GB2312" w:eastAsia="仿宋_GB2312" w:cs="仿宋_GB2312"/>
                <w:sz w:val="21"/>
                <w:szCs w:val="21"/>
                <w:lang w:val="en-US" w:eastAsia="zh-CN"/>
              </w:rPr>
              <w:t>（五）</w:t>
            </w:r>
            <w:r>
              <w:rPr>
                <w:rFonts w:hint="eastAsia" w:ascii="仿宋_GB2312" w:hAnsi="仿宋_GB2312" w:eastAsia="仿宋_GB2312" w:cs="仿宋_GB2312"/>
                <w:sz w:val="21"/>
                <w:szCs w:val="21"/>
                <w:lang w:eastAsia="zh-CN"/>
              </w:rPr>
              <w:t>生态保护措施。控制施工活动和井场作业范围，规范施工行为及行车路线。管线施工时采取分层开挖、分层回填方式进行，剥离表土单独存放并最终用于生态恢复。不乱挖、乱采野生植物，不捕杀野生动物及鸟类。严格遵守巴尔虎草原黄羊自然保护区、生态保护红线相关规定；对占用的基本草原应严格执行《中华人民共和国草原法》相关规定，办理相关审批手续。落地油及时回收、集中处置。加强检查检测管线腐蚀状况。闭井时及时拆除井口设备并用水泥封井，依据土地复垦方案对项目所在区域进行生态恢复。</w:t>
            </w:r>
          </w:p>
        </w:tc>
      </w:tr>
      <w:tr w14:paraId="3B530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3ED08FF8">
            <w:pPr>
              <w:jc w:val="center"/>
              <w:rPr>
                <w:rFonts w:ascii="仿宋_GB2312" w:eastAsia="仿宋_GB2312"/>
                <w:szCs w:val="21"/>
              </w:rPr>
            </w:pPr>
            <w:r>
              <w:rPr>
                <w:rFonts w:hint="eastAsia" w:ascii="仿宋_GB2312" w:eastAsia="仿宋_GB2312"/>
                <w:szCs w:val="21"/>
              </w:rPr>
              <w:t>公众参与</w:t>
            </w:r>
          </w:p>
        </w:tc>
        <w:tc>
          <w:tcPr>
            <w:tcW w:w="8305" w:type="dxa"/>
            <w:vAlign w:val="center"/>
          </w:tcPr>
          <w:p w14:paraId="59A0D74A">
            <w:pPr>
              <w:numPr>
                <w:ilvl w:val="0"/>
                <w:numId w:val="0"/>
              </w:numPr>
              <w:ind w:firstLine="210" w:firstLineChars="10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（一）</w:t>
            </w:r>
            <w:r>
              <w:rPr>
                <w:rFonts w:hint="eastAsia" w:ascii="仿宋_GB2312" w:hAnsi="仿宋_GB2312" w:eastAsia="仿宋_GB2312" w:cs="仿宋_GB2312"/>
                <w:sz w:val="21"/>
                <w:szCs w:val="21"/>
              </w:rPr>
              <w:t>建设单位于202</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年</w:t>
            </w:r>
            <w:r>
              <w:rPr>
                <w:rFonts w:hint="eastAsia" w:ascii="仿宋_GB2312" w:hAnsi="仿宋_GB2312" w:eastAsia="仿宋_GB2312" w:cs="仿宋_GB2312"/>
                <w:sz w:val="21"/>
                <w:szCs w:val="21"/>
                <w:lang w:val="en-US" w:eastAsia="zh-CN"/>
              </w:rPr>
              <w:t>1</w:t>
            </w:r>
            <w:r>
              <w:rPr>
                <w:rFonts w:hint="eastAsia" w:ascii="仿宋_GB2312" w:hAnsi="仿宋_GB2312" w:eastAsia="仿宋_GB2312" w:cs="仿宋_GB2312"/>
                <w:sz w:val="21"/>
                <w:szCs w:val="21"/>
              </w:rPr>
              <w:t>月</w:t>
            </w:r>
            <w:r>
              <w:rPr>
                <w:rFonts w:hint="eastAsia" w:ascii="仿宋_GB2312" w:hAnsi="仿宋_GB2312" w:eastAsia="仿宋_GB2312" w:cs="仿宋_GB2312"/>
                <w:sz w:val="21"/>
                <w:szCs w:val="21"/>
                <w:lang w:val="en-US" w:eastAsia="zh-CN"/>
              </w:rPr>
              <w:t>6日</w:t>
            </w:r>
            <w:r>
              <w:rPr>
                <w:rFonts w:hint="eastAsia" w:ascii="仿宋_GB2312" w:hAnsi="仿宋_GB2312" w:eastAsia="仿宋_GB2312" w:cs="仿宋_GB2312"/>
                <w:sz w:val="21"/>
                <w:szCs w:val="21"/>
              </w:rPr>
              <w:t>在</w:t>
            </w:r>
            <w:r>
              <w:rPr>
                <w:rFonts w:hint="eastAsia" w:ascii="仿宋_GB2312" w:hAnsi="仿宋_GB2312" w:eastAsia="仿宋_GB2312" w:cs="仿宋_GB2312"/>
                <w:sz w:val="21"/>
                <w:szCs w:val="21"/>
                <w:lang w:eastAsia="zh-CN"/>
              </w:rPr>
              <w:t>大庆油田信息港进行</w:t>
            </w:r>
            <w:r>
              <w:rPr>
                <w:rFonts w:hint="eastAsia" w:ascii="仿宋_GB2312" w:hAnsi="仿宋_GB2312" w:eastAsia="仿宋_GB2312" w:cs="仿宋_GB2312"/>
                <w:sz w:val="21"/>
                <w:szCs w:val="21"/>
                <w:lang w:val="en-US" w:eastAsia="zh-CN"/>
              </w:rPr>
              <w:t>第一次公示。</w:t>
            </w:r>
            <w:r>
              <w:rPr>
                <w:rFonts w:hint="eastAsia" w:ascii="仿宋_GB2312" w:hAnsi="仿宋_GB2312" w:eastAsia="仿宋_GB2312" w:cs="仿宋_GB2312"/>
                <w:sz w:val="21"/>
                <w:szCs w:val="21"/>
              </w:rPr>
              <w:t>主要介绍了项目名称、建设内容等基本情况、建设单位名称和联系方式、环境影响报告书编制单位的名称、公众意见表的网络链接、公众意见提交意见的方式和途径等。公示期间，建设单位未收到公众意见。</w:t>
            </w:r>
          </w:p>
          <w:p w14:paraId="026B82DA">
            <w:pPr>
              <w:numPr>
                <w:ilvl w:val="0"/>
                <w:numId w:val="0"/>
              </w:numPr>
              <w:ind w:left="0" w:leftChars="0" w:firstLine="210" w:firstLineChars="10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（二）</w:t>
            </w:r>
            <w:r>
              <w:rPr>
                <w:rFonts w:hint="eastAsia" w:ascii="仿宋_GB2312" w:hAnsi="仿宋_GB2312" w:eastAsia="仿宋_GB2312" w:cs="仿宋_GB2312"/>
                <w:sz w:val="21"/>
                <w:szCs w:val="21"/>
              </w:rPr>
              <w:t>建设单位于202</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rPr>
              <w:t>年</w:t>
            </w:r>
            <w:r>
              <w:rPr>
                <w:rFonts w:hint="eastAsia" w:ascii="仿宋_GB2312" w:hAnsi="仿宋_GB2312" w:eastAsia="仿宋_GB2312" w:cs="仿宋_GB2312"/>
                <w:sz w:val="21"/>
                <w:szCs w:val="21"/>
                <w:lang w:val="en-US" w:eastAsia="zh-CN"/>
              </w:rPr>
              <w:t>7</w:t>
            </w:r>
            <w:r>
              <w:rPr>
                <w:rFonts w:hint="eastAsia" w:ascii="仿宋_GB2312" w:hAnsi="仿宋_GB2312" w:eastAsia="仿宋_GB2312" w:cs="仿宋_GB2312"/>
                <w:sz w:val="21"/>
                <w:szCs w:val="21"/>
              </w:rPr>
              <w:t>月</w:t>
            </w:r>
            <w:r>
              <w:rPr>
                <w:rFonts w:hint="eastAsia" w:ascii="仿宋_GB2312" w:hAnsi="仿宋_GB2312" w:eastAsia="仿宋_GB2312" w:cs="仿宋_GB2312"/>
                <w:sz w:val="21"/>
                <w:szCs w:val="21"/>
                <w:lang w:val="en-US" w:eastAsia="zh-CN"/>
              </w:rPr>
              <w:t>8</w:t>
            </w:r>
            <w:r>
              <w:rPr>
                <w:rFonts w:hint="eastAsia" w:ascii="仿宋_GB2312" w:hAnsi="仿宋_GB2312" w:eastAsia="仿宋_GB2312" w:cs="仿宋_GB2312"/>
                <w:sz w:val="21"/>
                <w:szCs w:val="21"/>
              </w:rPr>
              <w:t>日</w:t>
            </w:r>
            <w:r>
              <w:rPr>
                <w:rFonts w:hint="eastAsia" w:ascii="仿宋_GB2312" w:hAnsi="仿宋_GB2312" w:eastAsia="仿宋_GB2312" w:cs="仿宋_GB2312"/>
                <w:sz w:val="21"/>
                <w:szCs w:val="21"/>
                <w:lang w:val="en-US" w:eastAsia="zh-CN"/>
              </w:rPr>
              <w:t>-7月21日</w:t>
            </w:r>
            <w:r>
              <w:rPr>
                <w:rFonts w:hint="eastAsia" w:ascii="仿宋_GB2312" w:hAnsi="仿宋_GB2312" w:eastAsia="仿宋_GB2312" w:cs="仿宋_GB2312"/>
                <w:sz w:val="21"/>
                <w:szCs w:val="21"/>
              </w:rPr>
              <w:t>，进行第二次公示</w:t>
            </w:r>
            <w:r>
              <w:rPr>
                <w:rFonts w:hint="eastAsia" w:ascii="仿宋_GB2312" w:hAnsi="仿宋_GB2312" w:eastAsia="仿宋_GB2312" w:cs="仿宋_GB2312"/>
                <w:sz w:val="21"/>
                <w:szCs w:val="21"/>
                <w:lang w:eastAsia="zh-CN"/>
              </w:rPr>
              <w:t>。公示方式分别为网络公示（内蒙古在线）、报纸公开（北方新报）和张贴公告（宝格德乌拉苏木人民政府公告栏）。</w:t>
            </w:r>
            <w:r>
              <w:rPr>
                <w:rFonts w:hint="eastAsia" w:ascii="仿宋_GB2312" w:hAnsi="仿宋_GB2312" w:eastAsia="仿宋_GB2312" w:cs="仿宋_GB2312"/>
                <w:sz w:val="21"/>
                <w:szCs w:val="21"/>
              </w:rPr>
              <w:t>公示的主要内容包括：环境影响报告书征求意见稿全文的网络链接及查阅纸质报告书的方式和途径、征求意见的公众范围、公众意见表的网络链接、公众提出意见的方式和途径、起止时间等。公示期间未收到公众反馈意见。</w:t>
            </w:r>
          </w:p>
          <w:p w14:paraId="6DAC9891">
            <w:pPr>
              <w:pStyle w:val="2"/>
              <w:numPr>
                <w:ilvl w:val="0"/>
                <w:numId w:val="0"/>
              </w:numPr>
              <w:ind w:left="0" w:leftChars="0" w:firstLine="210" w:firstLineChars="100"/>
            </w:pPr>
            <w:r>
              <w:rPr>
                <w:rFonts w:hint="eastAsia" w:ascii="仿宋_GB2312" w:hAnsi="仿宋_GB2312" w:eastAsia="仿宋_GB2312" w:cs="仿宋_GB2312"/>
                <w:kern w:val="2"/>
                <w:sz w:val="21"/>
                <w:szCs w:val="21"/>
                <w:lang w:val="en-US" w:eastAsia="zh-CN" w:bidi="ar-SA"/>
              </w:rPr>
              <w:t>（三）</w:t>
            </w:r>
            <w:r>
              <w:rPr>
                <w:rFonts w:hint="eastAsia" w:ascii="仿宋_GB2312" w:hAnsi="仿宋_GB2312" w:eastAsia="仿宋_GB2312" w:cs="仿宋_GB2312"/>
                <w:sz w:val="21"/>
                <w:szCs w:val="21"/>
                <w:lang w:eastAsia="zh-CN"/>
              </w:rPr>
              <w:t>建设单位对周边牧民开展了公众参与问卷调查，调查对象均表示支持项目建设，无环境影响方面的意见。</w:t>
            </w:r>
            <w:bookmarkStart w:id="0" w:name="_GoBack"/>
            <w:bookmarkEnd w:id="0"/>
          </w:p>
        </w:tc>
      </w:tr>
    </w:tbl>
    <w:p w14:paraId="04B786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114BF3"/>
    <w:rsid w:val="0013449A"/>
    <w:rsid w:val="00183EF4"/>
    <w:rsid w:val="0020775F"/>
    <w:rsid w:val="00457CBD"/>
    <w:rsid w:val="00505639"/>
    <w:rsid w:val="006B3C8B"/>
    <w:rsid w:val="0075505E"/>
    <w:rsid w:val="00882FA0"/>
    <w:rsid w:val="008959A2"/>
    <w:rsid w:val="008C21A0"/>
    <w:rsid w:val="008C6ACB"/>
    <w:rsid w:val="00A84665"/>
    <w:rsid w:val="00C41D8F"/>
    <w:rsid w:val="00F55727"/>
    <w:rsid w:val="1B4A62BC"/>
    <w:rsid w:val="29AA780D"/>
    <w:rsid w:val="2B196FFD"/>
    <w:rsid w:val="3F2037B8"/>
    <w:rsid w:val="404D275E"/>
    <w:rsid w:val="55CE2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宋体"/>
    </w:rPr>
  </w:style>
  <w:style w:type="paragraph" w:styleId="3">
    <w:name w:val="Body Text Indent"/>
    <w:basedOn w:val="1"/>
    <w:qFormat/>
    <w:uiPriority w:val="99"/>
    <w:pPr>
      <w:spacing w:line="360" w:lineRule="auto"/>
      <w:ind w:firstLine="600" w:firstLineChars="200"/>
    </w:pPr>
    <w:rPr>
      <w:rFonts w:ascii="仿宋_GB2312" w:eastAsia="仿宋_GB2312" w:cs="仿宋_GB2312"/>
      <w:sz w:val="30"/>
      <w:szCs w:val="30"/>
    </w:rPr>
  </w:style>
  <w:style w:type="paragraph" w:styleId="4">
    <w:name w:val="Body Text First Indent 2"/>
    <w:basedOn w:val="3"/>
    <w:next w:val="1"/>
    <w:qFormat/>
    <w:uiPriority w:val="99"/>
    <w:pPr>
      <w:keepNext/>
      <w:spacing w:after="120"/>
      <w:ind w:left="420" w:leftChars="200" w:firstLine="420"/>
    </w:pPr>
    <w:rPr>
      <w:rFonts w:ascii="Times New Roman" w:cs="Times New Roman"/>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样式9"/>
    <w:basedOn w:val="1"/>
    <w:qFormat/>
    <w:uiPriority w:val="0"/>
    <w:pPr>
      <w:widowControl w:val="0"/>
      <w:jc w:val="both"/>
    </w:pPr>
    <w:rPr>
      <w:rFonts w:ascii="楷体_GB2312" w:eastAsia="楷体_GB2312"/>
      <w:b/>
      <w:kern w:val="2"/>
      <w:sz w:val="30"/>
      <w:szCs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MS</Company>
  <Pages>2</Pages>
  <Words>1239</Words>
  <Characters>1292</Characters>
  <Lines>10</Lines>
  <Paragraphs>2</Paragraphs>
  <TotalTime>13</TotalTime>
  <ScaleCrop>false</ScaleCrop>
  <LinksUpToDate>false</LinksUpToDate>
  <CharactersWithSpaces>1292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2024-06-05T01:27:00Z</dcterms:created>
  <dc:creator>张雪丹(拟稿)</dc:creator>
  <cp:lastModifiedBy>张三儿⁉️</cp:lastModifiedBy>
  <dcterms:modified xsi:type="dcterms:W3CDTF">2026-02-10T08:35:05Z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eyJoZGlkIjoiZjg5ODA4MWYzZDY0ZDU1ODk2YTA1OWRkMzI4MGM0YmMiLCJ1c2VySWQiOiI0NTk5NjY4OTAifQ==</vt:lpwstr>
  </property>
  <property fmtid="{D5CDD505-2E9C-101B-9397-08002B2CF9AE}" pid="3" name="KSOProductBuildVer">
    <vt:lpwstr>2052-12.1.0.21915</vt:lpwstr>
  </property>
  <property fmtid="{D5CDD505-2E9C-101B-9397-08002B2CF9AE}" pid="4" name="ICV">
    <vt:lpwstr>79EBFFA6B2324C6094BA4399E5FE70DB_12</vt:lpwstr>
  </property>
</Properties>
</file>