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82" w:type="dxa"/>
        <w:tblInd w:w="-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8305"/>
      </w:tblGrid>
      <w:tr w14:paraId="2CD6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71D76AC9">
            <w:pPr>
              <w:jc w:val="center"/>
              <w:rPr>
                <w:rFonts w:ascii="仿宋_GB2312" w:eastAsia="仿宋_GB2312"/>
              </w:rPr>
            </w:pPr>
            <w:r>
              <w:rPr>
                <w:rFonts w:hint="eastAsia" w:ascii="仿宋_GB2312" w:eastAsia="仿宋_GB2312"/>
              </w:rPr>
              <w:t>序号</w:t>
            </w:r>
          </w:p>
        </w:tc>
        <w:tc>
          <w:tcPr>
            <w:tcW w:w="8305" w:type="dxa"/>
            <w:vAlign w:val="center"/>
          </w:tcPr>
          <w:p w14:paraId="47239E2F">
            <w:pPr>
              <w:jc w:val="center"/>
              <w:rPr>
                <w:rFonts w:ascii="仿宋_GB2312" w:eastAsia="仿宋_GB2312"/>
              </w:rPr>
            </w:pPr>
            <w:r>
              <w:rPr>
                <w:rFonts w:hint="eastAsia" w:ascii="仿宋_GB2312" w:eastAsia="仿宋_GB2312"/>
              </w:rPr>
              <w:t>1</w:t>
            </w:r>
          </w:p>
        </w:tc>
      </w:tr>
      <w:tr w14:paraId="14AD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6DF6D265">
            <w:pPr>
              <w:jc w:val="center"/>
              <w:rPr>
                <w:rFonts w:ascii="仿宋_GB2312" w:eastAsia="仿宋_GB2312"/>
              </w:rPr>
            </w:pPr>
            <w:r>
              <w:rPr>
                <w:rFonts w:hint="eastAsia" w:ascii="仿宋_GB2312" w:eastAsia="仿宋_GB2312"/>
              </w:rPr>
              <w:t>项目名称</w:t>
            </w:r>
          </w:p>
        </w:tc>
        <w:tc>
          <w:tcPr>
            <w:tcW w:w="8305" w:type="dxa"/>
            <w:vAlign w:val="center"/>
          </w:tcPr>
          <w:p w14:paraId="6B08DA9B">
            <w:pPr>
              <w:jc w:val="center"/>
              <w:rPr>
                <w:rFonts w:ascii="仿宋_GB2312" w:eastAsia="仿宋_GB2312"/>
              </w:rPr>
            </w:pPr>
            <w:r>
              <w:rPr>
                <w:rFonts w:hint="eastAsia" w:ascii="仿宋_GB2312" w:eastAsia="仿宋_GB2312"/>
              </w:rPr>
              <w:t>额尔古纳市城市基础设施运营集团有限公司热电厂生物质掺烧项目</w:t>
            </w:r>
          </w:p>
        </w:tc>
      </w:tr>
      <w:tr w14:paraId="516C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2F16C924">
            <w:pPr>
              <w:jc w:val="center"/>
              <w:rPr>
                <w:rFonts w:ascii="仿宋_GB2312" w:eastAsia="仿宋_GB2312"/>
              </w:rPr>
            </w:pPr>
            <w:r>
              <w:rPr>
                <w:rFonts w:hint="eastAsia" w:ascii="仿宋_GB2312" w:eastAsia="仿宋_GB2312"/>
              </w:rPr>
              <w:t>建设地点</w:t>
            </w:r>
          </w:p>
        </w:tc>
        <w:tc>
          <w:tcPr>
            <w:tcW w:w="8305" w:type="dxa"/>
            <w:vAlign w:val="center"/>
          </w:tcPr>
          <w:p w14:paraId="0B81B8BB">
            <w:pPr>
              <w:jc w:val="center"/>
              <w:rPr>
                <w:rFonts w:hint="eastAsia" w:ascii="仿宋_GB2312" w:eastAsia="仿宋_GB2312"/>
                <w:lang w:val="en-US" w:eastAsia="zh-CN"/>
              </w:rPr>
            </w:pPr>
            <w:r>
              <w:rPr>
                <w:rFonts w:hint="eastAsia" w:ascii="仿宋_GB2312" w:eastAsia="仿宋_GB2312"/>
                <w:lang w:val="en-US" w:eastAsia="zh-CN"/>
              </w:rPr>
              <w:t>额尔古纳市</w:t>
            </w:r>
          </w:p>
        </w:tc>
      </w:tr>
      <w:tr w14:paraId="1C26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A81A139">
            <w:pPr>
              <w:jc w:val="center"/>
              <w:rPr>
                <w:rFonts w:ascii="仿宋_GB2312" w:eastAsia="仿宋_GB2312"/>
              </w:rPr>
            </w:pPr>
            <w:r>
              <w:rPr>
                <w:rFonts w:hint="eastAsia" w:ascii="仿宋_GB2312" w:eastAsia="仿宋_GB2312"/>
              </w:rPr>
              <w:t>建设单位</w:t>
            </w:r>
          </w:p>
        </w:tc>
        <w:tc>
          <w:tcPr>
            <w:tcW w:w="8305" w:type="dxa"/>
            <w:vAlign w:val="center"/>
          </w:tcPr>
          <w:p w14:paraId="0E358D68">
            <w:pPr>
              <w:jc w:val="center"/>
              <w:rPr>
                <w:rFonts w:ascii="仿宋_GB2312" w:eastAsia="仿宋_GB2312"/>
              </w:rPr>
            </w:pPr>
            <w:r>
              <w:rPr>
                <w:rFonts w:hint="eastAsia" w:ascii="仿宋_GB2312" w:eastAsia="仿宋_GB2312"/>
              </w:rPr>
              <w:t>额尔古纳市城市基础设施运营集团有限公司</w:t>
            </w:r>
          </w:p>
        </w:tc>
      </w:tr>
      <w:tr w14:paraId="4F4B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7A48AC5D">
            <w:pPr>
              <w:jc w:val="center"/>
              <w:rPr>
                <w:rFonts w:ascii="仿宋_GB2312" w:eastAsia="仿宋_GB2312"/>
              </w:rPr>
            </w:pPr>
            <w:r>
              <w:rPr>
                <w:rFonts w:hint="eastAsia" w:ascii="仿宋_GB2312" w:eastAsia="仿宋_GB2312"/>
              </w:rPr>
              <w:t>环境影响评价机构</w:t>
            </w:r>
          </w:p>
        </w:tc>
        <w:tc>
          <w:tcPr>
            <w:tcW w:w="8305" w:type="dxa"/>
            <w:vAlign w:val="center"/>
          </w:tcPr>
          <w:p w14:paraId="52304F83">
            <w:pPr>
              <w:jc w:val="center"/>
              <w:rPr>
                <w:rFonts w:ascii="仿宋_GB2312" w:eastAsia="仿宋_GB2312"/>
              </w:rPr>
            </w:pPr>
            <w:r>
              <w:rPr>
                <w:rFonts w:hint="eastAsia" w:ascii="仿宋_GB2312" w:eastAsia="仿宋_GB2312"/>
              </w:rPr>
              <w:t>内蒙古西陆工程技术有限公司</w:t>
            </w:r>
          </w:p>
        </w:tc>
      </w:tr>
      <w:tr w14:paraId="7B8F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1480A569">
            <w:pPr>
              <w:jc w:val="center"/>
              <w:rPr>
                <w:rFonts w:ascii="仿宋_GB2312" w:eastAsia="仿宋_GB2312"/>
              </w:rPr>
            </w:pPr>
            <w:r>
              <w:rPr>
                <w:rFonts w:hint="eastAsia" w:ascii="仿宋_GB2312" w:eastAsia="仿宋_GB2312"/>
              </w:rPr>
              <w:t>项目概况</w:t>
            </w:r>
          </w:p>
        </w:tc>
        <w:tc>
          <w:tcPr>
            <w:tcW w:w="8305" w:type="dxa"/>
            <w:vAlign w:val="center"/>
          </w:tcPr>
          <w:p w14:paraId="22B4039E">
            <w:pPr>
              <w:pStyle w:val="8"/>
              <w:keepNext w:val="0"/>
              <w:keepLines w:val="0"/>
              <w:pageBreakBefore w:val="0"/>
              <w:widowControl w:val="0"/>
              <w:kinsoku/>
              <w:wordWrap/>
              <w:overflowPunct/>
              <w:topLinePunct w:val="0"/>
              <w:autoSpaceDE/>
              <w:autoSpaceDN/>
              <w:bidi w:val="0"/>
              <w:adjustRightInd/>
              <w:snapToGrid w:val="0"/>
              <w:spacing w:line="240" w:lineRule="auto"/>
              <w:ind w:firstLine="411" w:firstLineChars="196"/>
              <w:textAlignment w:val="auto"/>
              <w:rPr>
                <w:rFonts w:ascii="仿宋_GB2312" w:eastAsia="仿宋_GB2312"/>
              </w:rPr>
            </w:pPr>
            <w:r>
              <w:rPr>
                <w:rFonts w:hint="eastAsia" w:ascii="仿宋_GB2312" w:hAnsi="仿宋_GB2312" w:eastAsia="仿宋_GB2312" w:cs="仿宋_GB2312"/>
                <w:b w:val="0"/>
                <w:bCs/>
                <w:sz w:val="21"/>
                <w:szCs w:val="21"/>
              </w:rPr>
              <w:t>本项目为技改项目，行业类别为热电联产，掺烧生物质颗粒28000t/a，减少燃煤量23677t/a，生物质掺烧比例12.33%，同时对现有上煤系统进行改造，涉及提高输煤栈桥除铁器等附属设备离地位置、弧形皮带两侧加高、转运站进出料口容量扩大、犁煤器上沿加高等工程内容，热电厂其他部分不发生变化。</w:t>
            </w:r>
          </w:p>
        </w:tc>
      </w:tr>
      <w:tr w14:paraId="6C22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1" w:hRule="atLeast"/>
        </w:trPr>
        <w:tc>
          <w:tcPr>
            <w:tcW w:w="1077" w:type="dxa"/>
            <w:vAlign w:val="center"/>
          </w:tcPr>
          <w:p w14:paraId="0AD3CEE3">
            <w:pPr>
              <w:jc w:val="center"/>
              <w:rPr>
                <w:rFonts w:ascii="仿宋_GB2312" w:eastAsia="仿宋_GB2312"/>
                <w:szCs w:val="21"/>
              </w:rPr>
            </w:pPr>
            <w:r>
              <w:rPr>
                <w:rFonts w:hint="eastAsia" w:ascii="仿宋_GB2312" w:eastAsia="仿宋_GB2312"/>
                <w:szCs w:val="21"/>
              </w:rPr>
              <w:t>主要环境影响及预防或者减轻不良影响的对策措施</w:t>
            </w:r>
          </w:p>
        </w:tc>
        <w:tc>
          <w:tcPr>
            <w:tcW w:w="8305" w:type="dxa"/>
            <w:vAlign w:val="center"/>
          </w:tcPr>
          <w:p w14:paraId="539FCD2A">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一）大气污染防治。施工期切割工段喷水雾抑尘，使用低毒焊条等措施，降低焊接烟尘影响。锅炉废气采用SNCR+SCR脱硝+电袋复合除尘器+石灰石－石膏湿法脱硫后通过120m高烟囱排放。石灰石、石膏、粉煤灰等粉状物料的运输和存贮均采用密闭方式并配备有效除尘措施，落煤口、贮煤库、输煤转运站、碎煤机室、灰库、渣仓、石灰石粉仓等产尘环节采用袋式除尘器除尘。危废库挥发性有机物经负压收集、活性炭吸附处理后通过15m高排气筒排放。</w:t>
            </w:r>
          </w:p>
          <w:p w14:paraId="13DBACCF">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w:t>
            </w:r>
            <w:r>
              <w:rPr>
                <w:rFonts w:hint="eastAsia" w:ascii="仿宋_GB2312" w:hAnsi="宋体" w:eastAsia="仿宋_GB2312" w:cs="宋体"/>
                <w:color w:val="454545"/>
                <w:kern w:val="0"/>
                <w:szCs w:val="21"/>
                <w:lang w:eastAsia="zh-CN"/>
              </w:rPr>
              <w:t>二</w:t>
            </w:r>
            <w:r>
              <w:rPr>
                <w:rFonts w:hint="eastAsia" w:ascii="仿宋_GB2312" w:hAnsi="宋体" w:eastAsia="仿宋_GB2312" w:cs="宋体"/>
                <w:color w:val="454545"/>
                <w:kern w:val="0"/>
                <w:szCs w:val="21"/>
              </w:rPr>
              <w:t>）水环境保护措施。施工人员生活污水排入厂区现有化粪池。锅炉排污水、软水系统排污水排入降温水池后回用；循环冷却系统排污水、空压站废水排入回用水池后回用于生产；运煤系统冲洗废水、地面冲洗废水排入煤尘水处理室处理后回用；脱硫废水中和、絮凝、沉淀处理后回用；生活污水经化粪池预处理后经市政排水管网排入额尔古纳市城市污水处理厂处理。</w:t>
            </w:r>
          </w:p>
          <w:p w14:paraId="04FED878">
            <w:pPr>
              <w:widowControl/>
              <w:spacing w:after="156" w:afterLines="50"/>
              <w:jc w:val="left"/>
              <w:rPr>
                <w:rFonts w:ascii="宋体" w:hAnsi="宋体" w:eastAsia="宋体" w:cs="宋体"/>
                <w:color w:val="454545"/>
                <w:kern w:val="0"/>
                <w:szCs w:val="21"/>
              </w:rPr>
            </w:pPr>
            <w:r>
              <w:rPr>
                <w:rFonts w:hint="eastAsia" w:ascii="仿宋_GB2312" w:hAnsi="宋体" w:eastAsia="仿宋_GB2312" w:cs="宋体"/>
                <w:color w:val="454545"/>
                <w:kern w:val="0"/>
                <w:szCs w:val="21"/>
              </w:rPr>
              <w:t>（</w:t>
            </w:r>
            <w:r>
              <w:rPr>
                <w:rFonts w:hint="eastAsia" w:ascii="仿宋_GB2312" w:hAnsi="宋体" w:eastAsia="仿宋_GB2312" w:cs="宋体"/>
                <w:color w:val="454545"/>
                <w:kern w:val="0"/>
                <w:szCs w:val="21"/>
                <w:lang w:eastAsia="zh-CN"/>
              </w:rPr>
              <w:t>仨</w:t>
            </w:r>
            <w:r>
              <w:rPr>
                <w:rFonts w:hint="eastAsia" w:ascii="仿宋_GB2312" w:hAnsi="宋体" w:eastAsia="仿宋_GB2312" w:cs="宋体"/>
                <w:color w:val="454545"/>
                <w:kern w:val="0"/>
                <w:szCs w:val="21"/>
              </w:rPr>
              <w:t>）噪声控制措施。采用低噪声施工机械，合理安排施工时段。营运期通过选用低噪声设备、基础减振、消声器等措施降噪,厂界噪声应满足《工业企业厂界环境噪声排放标准》（GB12348-2008）2类标准。运输车辆减速慢行，尽量在昼间运输物料。。</w:t>
            </w:r>
          </w:p>
          <w:p w14:paraId="41929027">
            <w:pPr>
              <w:spacing w:after="156" w:afterLines="50"/>
              <w:jc w:val="left"/>
              <w:rPr>
                <w:rFonts w:ascii="仿宋_GB2312" w:eastAsia="仿宋_GB2312"/>
                <w:szCs w:val="21"/>
              </w:rPr>
            </w:pPr>
            <w:r>
              <w:rPr>
                <w:rFonts w:hint="eastAsia" w:ascii="仿宋_GB2312" w:hAnsi="宋体" w:eastAsia="仿宋_GB2312" w:cs="宋体"/>
                <w:color w:val="454545"/>
                <w:kern w:val="0"/>
                <w:szCs w:val="21"/>
              </w:rPr>
              <w:t>（</w:t>
            </w:r>
            <w:r>
              <w:rPr>
                <w:rFonts w:hint="eastAsia" w:ascii="仿宋_GB2312" w:hAnsi="宋体" w:eastAsia="仿宋_GB2312" w:cs="宋体"/>
                <w:color w:val="454545"/>
                <w:kern w:val="0"/>
                <w:szCs w:val="21"/>
                <w:lang w:eastAsia="zh-CN"/>
              </w:rPr>
              <w:t>四</w:t>
            </w:r>
            <w:r>
              <w:rPr>
                <w:rFonts w:hint="eastAsia" w:ascii="仿宋_GB2312" w:hAnsi="宋体" w:eastAsia="仿宋_GB2312" w:cs="宋体"/>
                <w:color w:val="454545"/>
                <w:kern w:val="0"/>
                <w:szCs w:val="21"/>
              </w:rPr>
              <w:t>）固体废物污染防治措施。施工期废边角料回收外售。营运期产生的废脱硫石膏、炉渣、飞灰经暂存后运至额尔古纳市一般工业固体废物填埋场填埋处置。脱硫废水处理站底泥属性鉴别前按照危废进行管理，经鉴别若为一般工业固废则暂存后运至一般工业固体废物填埋场处置。中水预处理沉淀物通过锅炉焚烧处理，废包装、废布袋作为可回用材料外售，废滤膜、废空气滤芯由厂家更换回收。废催化剂、废机油、废油桶、及废活性炭等危险废物暂存在危废暂存间，定期委托有资质单位处置。生活垃圾收集后委托环卫部门运至额尔古纳市生活垃圾填埋场填埋处理。</w:t>
            </w:r>
          </w:p>
        </w:tc>
      </w:tr>
      <w:tr w14:paraId="3B530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ED08FF8">
            <w:pPr>
              <w:jc w:val="center"/>
              <w:rPr>
                <w:rFonts w:ascii="仿宋_GB2312" w:eastAsia="仿宋_GB2312"/>
                <w:szCs w:val="21"/>
              </w:rPr>
            </w:pPr>
            <w:r>
              <w:rPr>
                <w:rFonts w:hint="eastAsia" w:ascii="仿宋_GB2312" w:eastAsia="仿宋_GB2312"/>
                <w:szCs w:val="21"/>
              </w:rPr>
              <w:t>公众参与</w:t>
            </w:r>
          </w:p>
        </w:tc>
        <w:tc>
          <w:tcPr>
            <w:tcW w:w="8305" w:type="dxa"/>
            <w:vAlign w:val="center"/>
          </w:tcPr>
          <w:p w14:paraId="59A0D74A">
            <w:pPr>
              <w:numPr>
                <w:ilvl w:val="0"/>
                <w:numId w:val="1"/>
              </w:numPr>
              <w:ind w:firstLine="210" w:firstLineChars="100"/>
              <w:jc w:val="left"/>
              <w:rPr>
                <w:rFonts w:ascii="仿宋_GB2312" w:eastAsia="仿宋_GB2312"/>
                <w:szCs w:val="21"/>
              </w:rPr>
            </w:pPr>
            <w:r>
              <w:rPr>
                <w:rFonts w:hint="eastAsia" w:ascii="仿宋_GB2312" w:eastAsia="仿宋_GB2312"/>
                <w:szCs w:val="21"/>
              </w:rPr>
              <w:t>建设单位于202</w:t>
            </w:r>
            <w:r>
              <w:rPr>
                <w:rFonts w:hint="eastAsia" w:ascii="仿宋_GB2312" w:eastAsia="仿宋_GB2312"/>
                <w:szCs w:val="21"/>
                <w:lang w:val="en-US" w:eastAsia="zh-CN"/>
              </w:rPr>
              <w:t>5</w:t>
            </w:r>
            <w:r>
              <w:rPr>
                <w:rFonts w:hint="eastAsia" w:ascii="仿宋_GB2312" w:eastAsia="仿宋_GB2312"/>
                <w:szCs w:val="21"/>
              </w:rPr>
              <w:t>年</w:t>
            </w:r>
            <w:r>
              <w:rPr>
                <w:rFonts w:hint="eastAsia" w:ascii="仿宋_GB2312" w:eastAsia="仿宋_GB2312"/>
                <w:szCs w:val="21"/>
                <w:lang w:val="en-US" w:eastAsia="zh-CN"/>
              </w:rPr>
              <w:t>2</w:t>
            </w:r>
            <w:r>
              <w:rPr>
                <w:rFonts w:hint="eastAsia" w:ascii="仿宋_GB2312" w:eastAsia="仿宋_GB2312"/>
                <w:szCs w:val="21"/>
              </w:rPr>
              <w:t>月</w:t>
            </w:r>
            <w:r>
              <w:rPr>
                <w:rFonts w:hint="eastAsia" w:ascii="仿宋_GB2312" w:eastAsia="仿宋_GB2312"/>
                <w:szCs w:val="21"/>
                <w:lang w:val="en-US" w:eastAsia="zh-CN"/>
              </w:rPr>
              <w:t>25日-3月12</w:t>
            </w:r>
            <w:r>
              <w:rPr>
                <w:rFonts w:hint="eastAsia" w:ascii="仿宋_GB2312" w:eastAsia="仿宋_GB2312"/>
                <w:szCs w:val="21"/>
              </w:rPr>
              <w:t>日在</w:t>
            </w:r>
            <w:r>
              <w:rPr>
                <w:rFonts w:hint="eastAsia" w:ascii="仿宋_GB2312" w:eastAsia="仿宋_GB2312"/>
                <w:szCs w:val="21"/>
                <w:lang w:eastAsia="zh-CN"/>
              </w:rPr>
              <w:t>第一环评网</w:t>
            </w:r>
            <w:r>
              <w:rPr>
                <w:rFonts w:hint="eastAsia" w:ascii="仿宋_GB2312" w:eastAsia="仿宋_GB2312"/>
                <w:szCs w:val="21"/>
                <w:lang w:val="en-US" w:eastAsia="zh-CN"/>
              </w:rPr>
              <w:t>发布第一次公示。</w:t>
            </w:r>
            <w:r>
              <w:rPr>
                <w:rFonts w:hint="eastAsia" w:ascii="仿宋_GB2312" w:eastAsia="仿宋_GB2312"/>
                <w:szCs w:val="21"/>
              </w:rPr>
              <w:t>主要介绍了项目名称、建设内容等基本情况、建设单位名称和联系方式、环境影响报告书编制单位的名称、公众意见表的网络链接、公众意见提交意见的方式和途径等。公示期间，建设单位未收到公众意见。</w:t>
            </w:r>
          </w:p>
          <w:p w14:paraId="026B82DA">
            <w:pPr>
              <w:ind w:firstLine="210" w:firstLineChars="100"/>
              <w:jc w:val="left"/>
              <w:rPr>
                <w:rFonts w:ascii="仿宋_GB2312" w:eastAsia="仿宋_GB2312"/>
                <w:szCs w:val="21"/>
              </w:rPr>
            </w:pPr>
            <w:r>
              <w:rPr>
                <w:rFonts w:hint="eastAsia" w:ascii="仿宋_GB2312" w:eastAsia="仿宋_GB2312"/>
                <w:szCs w:val="21"/>
              </w:rPr>
              <w:t>（二）建设单位于202</w:t>
            </w:r>
            <w:r>
              <w:rPr>
                <w:rFonts w:hint="eastAsia" w:ascii="仿宋_GB2312" w:eastAsia="仿宋_GB2312"/>
                <w:szCs w:val="21"/>
                <w:lang w:val="en-US" w:eastAsia="zh-CN"/>
              </w:rPr>
              <w:t>5</w:t>
            </w:r>
            <w:r>
              <w:rPr>
                <w:rFonts w:hint="eastAsia" w:ascii="仿宋_GB2312" w:eastAsia="仿宋_GB2312"/>
                <w:szCs w:val="21"/>
              </w:rPr>
              <w:t>年</w:t>
            </w:r>
            <w:r>
              <w:rPr>
                <w:rFonts w:hint="eastAsia" w:ascii="仿宋_GB2312" w:eastAsia="仿宋_GB2312"/>
                <w:szCs w:val="21"/>
                <w:lang w:val="en-US" w:eastAsia="zh-CN"/>
              </w:rPr>
              <w:t>4</w:t>
            </w:r>
            <w:r>
              <w:rPr>
                <w:rFonts w:hint="eastAsia" w:ascii="仿宋_GB2312" w:eastAsia="仿宋_GB2312"/>
                <w:szCs w:val="21"/>
              </w:rPr>
              <w:t>月</w:t>
            </w:r>
            <w:r>
              <w:rPr>
                <w:rFonts w:hint="eastAsia" w:ascii="仿宋_GB2312" w:eastAsia="仿宋_GB2312"/>
                <w:szCs w:val="21"/>
                <w:lang w:val="en-US" w:eastAsia="zh-CN"/>
              </w:rPr>
              <w:t>21</w:t>
            </w:r>
            <w:r>
              <w:rPr>
                <w:rFonts w:hint="eastAsia" w:ascii="仿宋_GB2312" w:eastAsia="仿宋_GB2312"/>
                <w:szCs w:val="21"/>
              </w:rPr>
              <w:t>日</w:t>
            </w:r>
            <w:r>
              <w:rPr>
                <w:rFonts w:hint="eastAsia" w:ascii="仿宋_GB2312" w:eastAsia="仿宋_GB2312"/>
                <w:szCs w:val="21"/>
                <w:lang w:val="en-US" w:eastAsia="zh-CN"/>
              </w:rPr>
              <w:t>-5月2日</w:t>
            </w:r>
            <w:r>
              <w:rPr>
                <w:rFonts w:hint="eastAsia" w:ascii="仿宋_GB2312" w:eastAsia="仿宋_GB2312"/>
                <w:szCs w:val="21"/>
              </w:rPr>
              <w:t>，进行第二次公示</w:t>
            </w:r>
            <w:r>
              <w:rPr>
                <w:rFonts w:hint="eastAsia" w:ascii="仿宋_GB2312" w:eastAsia="仿宋_GB2312"/>
                <w:szCs w:val="21"/>
                <w:lang w:eastAsia="zh-CN"/>
              </w:rPr>
              <w:t>。公示方式分别为网络公示（生态环境公示网）和报纸公开（北方新报）。</w:t>
            </w:r>
            <w:r>
              <w:rPr>
                <w:rFonts w:hint="eastAsia" w:ascii="仿宋_GB2312" w:eastAsia="仿宋_GB2312"/>
                <w:szCs w:val="21"/>
              </w:rPr>
              <w:t>公示的主要内容包括：环境影响报告书征求意见稿全文的网络链接及查阅纸质报告书的方式和途径、征求意见的公众范围、公众意见表的网络链接、公众提出意见的方式和途径、起止时间等。公示期间未收到公众反馈意见。</w:t>
            </w:r>
            <w:bookmarkStart w:id="0" w:name="_GoBack"/>
            <w:bookmarkEnd w:id="0"/>
          </w:p>
        </w:tc>
      </w:tr>
    </w:tbl>
    <w:p w14:paraId="0F4D657B"/>
    <w:p w14:paraId="04B786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7E2D8B"/>
    <w:multiLevelType w:val="singleLevel"/>
    <w:tmpl w:val="EE7E2D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457CBD"/>
    <w:rsid w:val="00505639"/>
    <w:rsid w:val="006B3C8B"/>
    <w:rsid w:val="0075505E"/>
    <w:rsid w:val="00882FA0"/>
    <w:rsid w:val="008959A2"/>
    <w:rsid w:val="008C21A0"/>
    <w:rsid w:val="008C6ACB"/>
    <w:rsid w:val="00A84665"/>
    <w:rsid w:val="00C41D8F"/>
    <w:rsid w:val="00F55727"/>
    <w:rsid w:val="1B4A62BC"/>
    <w:rsid w:val="29AA7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宋体"/>
    </w:rPr>
  </w:style>
  <w:style w:type="paragraph" w:styleId="3">
    <w:name w:val="Body Text Indent"/>
    <w:basedOn w:val="1"/>
    <w:qFormat/>
    <w:uiPriority w:val="99"/>
    <w:pPr>
      <w:spacing w:line="360" w:lineRule="auto"/>
      <w:ind w:firstLine="600" w:firstLineChars="200"/>
    </w:pPr>
    <w:rPr>
      <w:rFonts w:ascii="仿宋_GB2312" w:eastAsia="仿宋_GB2312" w:cs="仿宋_GB2312"/>
      <w:sz w:val="30"/>
      <w:szCs w:val="30"/>
    </w:rPr>
  </w:style>
  <w:style w:type="paragraph" w:styleId="4">
    <w:name w:val="Body Text First Indent 2"/>
    <w:basedOn w:val="3"/>
    <w:next w:val="1"/>
    <w:qFormat/>
    <w:uiPriority w:val="99"/>
    <w:pPr>
      <w:keepNext/>
      <w:spacing w:after="120"/>
      <w:ind w:left="420" w:leftChars="200" w:firstLine="420"/>
    </w:pPr>
    <w:rPr>
      <w:rFonts w:ascii="Times New Roman" w:cs="Times New Roman"/>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样式9"/>
    <w:basedOn w:val="1"/>
    <w:qFormat/>
    <w:uiPriority w:val="0"/>
    <w:pPr>
      <w:widowControl w:val="0"/>
      <w:jc w:val="both"/>
    </w:pPr>
    <w:rPr>
      <w:rFonts w:ascii="楷体_GB2312" w:eastAsia="楷体_GB2312"/>
      <w:b/>
      <w:kern w:val="2"/>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1</Pages>
  <Words>1207</Words>
  <Characters>1255</Characters>
  <Lines>10</Lines>
  <Paragraphs>2</Paragraphs>
  <TotalTime>5</TotalTime>
  <ScaleCrop>false</ScaleCrop>
  <LinksUpToDate>false</LinksUpToDate>
  <CharactersWithSpaces>1255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2024-06-05T01:27:00Z</dcterms:created>
  <dc:creator>张雪丹(拟稿)</dc:creator>
  <cp:lastModifiedBy>张三儿⁉️</cp:lastModifiedBy>
  <dcterms:modified xsi:type="dcterms:W3CDTF">2026-02-09T09:12:16Z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eyJoZGlkIjoiZjg5ODA4MWYzZDY0ZDU1ODk2YTA1OWRkMzI4MGM0YmMiLCJ1c2VySWQiOiI0NTk5NjY4OTAifQ==</vt:lpwstr>
  </property>
  <property fmtid="{D5CDD505-2E9C-101B-9397-08002B2CF9AE}" pid="3" name="KSOProductBuildVer">
    <vt:lpwstr>2052-12.1.0.21915</vt:lpwstr>
  </property>
  <property fmtid="{D5CDD505-2E9C-101B-9397-08002B2CF9AE}" pid="4" name="ICV">
    <vt:lpwstr>79EBFFA6B2324C6094BA4399E5FE70DB_12</vt:lpwstr>
  </property>
</Properties>
</file>